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3F0208">
      <w:pPr>
        <w:pStyle w:val="3"/>
        <w:ind w:left="0" w:leftChars="0" w:firstLine="0" w:firstLineChars="0"/>
        <w:rPr>
          <w:rFonts w:hint="eastAsia" w:asciiTheme="minorEastAsia" w:hAnsiTheme="minorEastAsia" w:eastAsiaTheme="minorEastAsia" w:cstheme="minorEastAsia"/>
          <w:spacing w:val="0"/>
          <w:w w:val="100"/>
          <w:sz w:val="28"/>
          <w:szCs w:val="28"/>
          <w:lang w:val="en-US" w:eastAsia="zh-CN"/>
        </w:rPr>
      </w:pPr>
      <w:r>
        <w:rPr>
          <w:rFonts w:hint="eastAsia" w:asciiTheme="minorEastAsia" w:hAnsiTheme="minorEastAsia" w:eastAsiaTheme="minorEastAsia" w:cstheme="minorEastAsia"/>
          <w:spacing w:val="0"/>
          <w:w w:val="100"/>
          <w:sz w:val="28"/>
          <w:szCs w:val="28"/>
          <w:lang w:val="en-US" w:eastAsia="zh-CN"/>
        </w:rPr>
        <w:t>附件：</w:t>
      </w:r>
    </w:p>
    <w:p w14:paraId="6B43C3E6">
      <w:pPr>
        <w:pStyle w:val="6"/>
        <w:keepNext w:val="0"/>
        <w:keepLines w:val="0"/>
        <w:pageBreakBefore w:val="0"/>
        <w:widowControl w:val="0"/>
        <w:kinsoku/>
        <w:wordWrap/>
        <w:overflowPunct w:val="0"/>
        <w:topLinePunct w:val="0"/>
        <w:autoSpaceDE/>
        <w:autoSpaceDN/>
        <w:bidi w:val="0"/>
        <w:adjustRightInd w:val="0"/>
        <w:snapToGrid w:val="0"/>
        <w:spacing w:line="560" w:lineRule="exact"/>
        <w:ind w:left="0" w:right="0" w:firstLine="0" w:firstLineChars="0"/>
        <w:jc w:val="center"/>
        <w:textAlignment w:val="baseline"/>
        <w:rPr>
          <w:rFonts w:hint="default" w:ascii="Times New Roman" w:hAnsi="Times New Roman" w:eastAsia="方正小标宋_GBK" w:cs="Times New Roman"/>
          <w:snapToGrid/>
          <w:spacing w:val="-9"/>
          <w:kern w:val="0"/>
          <w:sz w:val="40"/>
          <w:szCs w:val="40"/>
          <w:u w:val="none" w:color="auto"/>
          <w:lang w:val="en-US" w:eastAsia="zh-CN" w:bidi="ar-SA"/>
        </w:rPr>
      </w:pPr>
      <w:r>
        <w:rPr>
          <w:rFonts w:hint="eastAsia" w:ascii="Times New Roman" w:hAnsi="Times New Roman" w:eastAsia="方正小标宋_GBK" w:cs="Times New Roman"/>
          <w:snapToGrid/>
          <w:spacing w:val="-9"/>
          <w:kern w:val="0"/>
          <w:sz w:val="40"/>
          <w:szCs w:val="40"/>
          <w:u w:val="none" w:color="auto"/>
          <w:lang w:val="en-US" w:eastAsia="zh-CN" w:bidi="ar-SA"/>
        </w:rPr>
        <w:t>巴楚县</w:t>
      </w:r>
      <w:r>
        <w:rPr>
          <w:rFonts w:hint="default" w:ascii="Times New Roman" w:hAnsi="Times New Roman" w:eastAsia="方正小标宋_GBK" w:cs="Times New Roman"/>
          <w:snapToGrid/>
          <w:spacing w:val="-9"/>
          <w:kern w:val="0"/>
          <w:sz w:val="40"/>
          <w:szCs w:val="40"/>
          <w:u w:val="none" w:color="auto"/>
          <w:lang w:val="en-US" w:eastAsia="zh-CN" w:bidi="ar-SA"/>
        </w:rPr>
        <w:t>人民政府征地补偿安置方案</w:t>
      </w:r>
    </w:p>
    <w:p w14:paraId="6D242F5E">
      <w:pPr>
        <w:pStyle w:val="6"/>
        <w:keepNext w:val="0"/>
        <w:keepLines w:val="0"/>
        <w:pageBreakBefore w:val="0"/>
        <w:widowControl w:val="0"/>
        <w:kinsoku/>
        <w:wordWrap/>
        <w:overflowPunct w:val="0"/>
        <w:topLinePunct w:val="0"/>
        <w:autoSpaceDE/>
        <w:autoSpaceDN/>
        <w:bidi w:val="0"/>
        <w:adjustRightInd w:val="0"/>
        <w:snapToGrid w:val="0"/>
        <w:spacing w:line="560" w:lineRule="exact"/>
        <w:ind w:left="0" w:right="0" w:firstLine="0" w:firstLineChars="0"/>
        <w:jc w:val="center"/>
        <w:textAlignment w:val="baseline"/>
        <w:rPr>
          <w:rFonts w:hint="default" w:ascii="Times New Roman" w:hAnsi="Times New Roman" w:eastAsia="方正小标宋_GBK" w:cs="Times New Roman"/>
          <w:snapToGrid/>
          <w:spacing w:val="-9"/>
          <w:kern w:val="0"/>
          <w:sz w:val="40"/>
          <w:szCs w:val="40"/>
          <w:u w:val="none" w:color="auto"/>
          <w:lang w:val="en-US" w:eastAsia="zh-CN" w:bidi="ar-SA"/>
        </w:rPr>
      </w:pPr>
    </w:p>
    <w:p w14:paraId="5CCDEC01">
      <w:pPr>
        <w:pStyle w:val="6"/>
        <w:keepNext w:val="0"/>
        <w:keepLines w:val="0"/>
        <w:pageBreakBefore w:val="0"/>
        <w:widowControl/>
        <w:kinsoku/>
        <w:wordWrap/>
        <w:overflowPunct/>
        <w:topLinePunct w:val="0"/>
        <w:autoSpaceDE w:val="0"/>
        <w:autoSpaceDN w:val="0"/>
        <w:bidi w:val="0"/>
        <w:adjustRightInd w:val="0"/>
        <w:snapToGrid w:val="0"/>
        <w:spacing w:line="570" w:lineRule="exact"/>
        <w:ind w:left="0" w:right="0" w:firstLine="640" w:firstLineChars="200"/>
        <w:jc w:val="both"/>
        <w:textAlignment w:val="baseline"/>
        <w:rPr>
          <w:rFonts w:hint="eastAsia" w:ascii="Times New Roman" w:hAnsi="Times New Roman" w:eastAsia="方正仿宋_GBK" w:cs="Times New Roman"/>
          <w:spacing w:val="0"/>
          <w:w w:val="100"/>
          <w:sz w:val="32"/>
          <w:szCs w:val="32"/>
          <w:lang w:eastAsia="zh-CN"/>
        </w:rPr>
      </w:pPr>
      <w:r>
        <w:rPr>
          <w:rFonts w:hint="default" w:ascii="Times New Roman" w:hAnsi="Times New Roman" w:eastAsia="方正仿宋_GBK" w:cs="Times New Roman"/>
          <w:spacing w:val="0"/>
          <w:w w:val="100"/>
          <w:sz w:val="32"/>
          <w:szCs w:val="32"/>
        </w:rPr>
        <w:t>根据《中华人民共和国土地管理法》第四十七条、第四十八条，《中华人民共和国土地管理法实施条例》第二十七条、第二十八条，《新疆维吾尔自治区实施&lt;中华人民共和国土地管理法&gt;办法》第二十六条的规定，依据征收土地预公告、拟征收土地现状调查和社会稳定风险评估情况，现将拟定征收土地补偿安置方案的有关事项公告如下</w:t>
      </w:r>
      <w:r>
        <w:rPr>
          <w:rFonts w:hint="eastAsia" w:ascii="Times New Roman" w:hAnsi="Times New Roman" w:eastAsia="方正仿宋_GBK" w:cs="Times New Roman"/>
          <w:spacing w:val="0"/>
          <w:w w:val="100"/>
          <w:sz w:val="32"/>
          <w:szCs w:val="32"/>
          <w:lang w:eastAsia="zh-CN"/>
        </w:rPr>
        <w:t>。</w:t>
      </w:r>
    </w:p>
    <w:p w14:paraId="2AB7957A">
      <w:pPr>
        <w:keepNext w:val="0"/>
        <w:keepLines w:val="0"/>
        <w:pageBreakBefore w:val="0"/>
        <w:widowControl/>
        <w:kinsoku/>
        <w:wordWrap/>
        <w:overflowPunct/>
        <w:topLinePunct w:val="0"/>
        <w:autoSpaceDE w:val="0"/>
        <w:autoSpaceDN w:val="0"/>
        <w:bidi w:val="0"/>
        <w:adjustRightInd w:val="0"/>
        <w:snapToGrid w:val="0"/>
        <w:spacing w:line="570" w:lineRule="exact"/>
        <w:ind w:left="0" w:right="0" w:firstLine="640" w:firstLineChars="200"/>
        <w:jc w:val="both"/>
        <w:textAlignment w:val="baseline"/>
        <w:rPr>
          <w:rFonts w:hint="default" w:ascii="Times New Roman" w:hAnsi="Times New Roman" w:eastAsia="方正黑体_GBK" w:cs="Times New Roman"/>
          <w:spacing w:val="0"/>
          <w:w w:val="100"/>
          <w:sz w:val="32"/>
          <w:szCs w:val="32"/>
        </w:rPr>
      </w:pPr>
      <w:r>
        <w:rPr>
          <w:rFonts w:hint="default" w:ascii="Times New Roman" w:hAnsi="Times New Roman" w:eastAsia="方正黑体_GBK" w:cs="Times New Roman"/>
          <w:spacing w:val="0"/>
          <w:w w:val="100"/>
          <w:sz w:val="32"/>
          <w:szCs w:val="32"/>
        </w:rPr>
        <w:t>一、征收范围</w:t>
      </w:r>
    </w:p>
    <w:p w14:paraId="137306DB">
      <w:pPr>
        <w:pStyle w:val="6"/>
        <w:keepNext w:val="0"/>
        <w:keepLines w:val="0"/>
        <w:pageBreakBefore w:val="0"/>
        <w:widowControl/>
        <w:kinsoku/>
        <w:wordWrap/>
        <w:overflowPunct/>
        <w:topLinePunct w:val="0"/>
        <w:autoSpaceDE w:val="0"/>
        <w:autoSpaceDN w:val="0"/>
        <w:bidi w:val="0"/>
        <w:adjustRightInd w:val="0"/>
        <w:snapToGrid w:val="0"/>
        <w:spacing w:line="570" w:lineRule="exact"/>
        <w:ind w:left="0" w:right="0" w:firstLine="640" w:firstLineChars="200"/>
        <w:jc w:val="both"/>
        <w:textAlignment w:val="baseline"/>
        <w:rPr>
          <w:rFonts w:hint="default" w:ascii="Times New Roman" w:hAnsi="Times New Roman" w:eastAsia="方正仿宋_GBK" w:cs="Times New Roman"/>
          <w:spacing w:val="0"/>
          <w:w w:val="100"/>
          <w:sz w:val="32"/>
          <w:szCs w:val="32"/>
        </w:rPr>
      </w:pPr>
      <w:r>
        <w:rPr>
          <w:rFonts w:hint="default" w:ascii="Times New Roman" w:hAnsi="Times New Roman" w:eastAsia="方正仿宋_GBK" w:cs="Times New Roman"/>
          <w:spacing w:val="0"/>
          <w:w w:val="100"/>
          <w:sz w:val="32"/>
          <w:szCs w:val="32"/>
        </w:rPr>
        <w:t>本次拟征收位于</w:t>
      </w:r>
      <w:r>
        <w:rPr>
          <w:rFonts w:hint="default" w:ascii="Times New Roman" w:hAnsi="Times New Roman" w:eastAsia="方正仿宋_GBK" w:cs="Times New Roman"/>
          <w:b w:val="0"/>
          <w:bCs w:val="0"/>
          <w:spacing w:val="0"/>
          <w:w w:val="100"/>
          <w:sz w:val="32"/>
          <w:szCs w:val="32"/>
          <w:u w:val="none" w:color="auto"/>
        </w:rPr>
        <w:t>阿纳库勒乡结然塔拉村</w:t>
      </w:r>
      <w:r>
        <w:rPr>
          <w:rFonts w:hint="eastAsia" w:ascii="Times New Roman" w:hAnsi="Times New Roman" w:eastAsia="方正仿宋_GBK" w:cs="Times New Roman"/>
          <w:b w:val="0"/>
          <w:bCs w:val="0"/>
          <w:spacing w:val="0"/>
          <w:w w:val="100"/>
          <w:sz w:val="32"/>
          <w:szCs w:val="32"/>
          <w:u w:val="none" w:color="auto"/>
          <w:lang w:eastAsia="zh-CN"/>
        </w:rPr>
        <w:t>、胡木旦贝希村、阿拉格尔且克村、阿恰勒村、墩买里村</w:t>
      </w:r>
      <w:r>
        <w:rPr>
          <w:rFonts w:hint="default" w:ascii="Times New Roman" w:hAnsi="Times New Roman" w:eastAsia="方正仿宋_GBK" w:cs="Times New Roman"/>
          <w:spacing w:val="0"/>
          <w:w w:val="100"/>
          <w:sz w:val="32"/>
          <w:szCs w:val="32"/>
        </w:rPr>
        <w:t>范围内，拟征收农民集体所有土地</w:t>
      </w:r>
      <w:r>
        <w:rPr>
          <w:rFonts w:hint="default" w:ascii="Times New Roman" w:hAnsi="Times New Roman" w:eastAsia="方正仿宋_GBK" w:cs="Times New Roman"/>
          <w:b w:val="0"/>
          <w:bCs w:val="0"/>
          <w:spacing w:val="0"/>
          <w:w w:val="100"/>
          <w:sz w:val="32"/>
          <w:szCs w:val="32"/>
          <w:u w:val="none" w:color="auto"/>
        </w:rPr>
        <w:t>13.8788</w:t>
      </w:r>
      <w:r>
        <w:rPr>
          <w:rFonts w:hint="default" w:ascii="Times New Roman" w:hAnsi="Times New Roman" w:eastAsia="方正仿宋_GBK" w:cs="Times New Roman"/>
          <w:spacing w:val="0"/>
          <w:w w:val="100"/>
          <w:sz w:val="32"/>
          <w:szCs w:val="32"/>
        </w:rPr>
        <w:t>公顷，具体位置详见附图。</w:t>
      </w:r>
    </w:p>
    <w:p w14:paraId="5E910338">
      <w:pPr>
        <w:pStyle w:val="6"/>
        <w:keepNext w:val="0"/>
        <w:keepLines w:val="0"/>
        <w:pageBreakBefore w:val="0"/>
        <w:widowControl/>
        <w:kinsoku/>
        <w:wordWrap/>
        <w:overflowPunct/>
        <w:topLinePunct w:val="0"/>
        <w:autoSpaceDE w:val="0"/>
        <w:autoSpaceDN w:val="0"/>
        <w:bidi w:val="0"/>
        <w:adjustRightInd w:val="0"/>
        <w:snapToGrid w:val="0"/>
        <w:spacing w:line="570" w:lineRule="exact"/>
        <w:ind w:left="0" w:right="0" w:firstLine="640" w:firstLineChars="200"/>
        <w:jc w:val="both"/>
        <w:textAlignment w:val="baseline"/>
        <w:rPr>
          <w:rFonts w:hint="default" w:ascii="Times New Roman" w:hAnsi="Times New Roman" w:eastAsia="方正仿宋_GBK" w:cs="Times New Roman"/>
          <w:spacing w:val="0"/>
          <w:w w:val="100"/>
          <w:sz w:val="32"/>
          <w:szCs w:val="32"/>
        </w:rPr>
      </w:pPr>
      <w:r>
        <w:rPr>
          <w:rFonts w:hint="default" w:ascii="Times New Roman" w:hAnsi="Times New Roman" w:eastAsia="方正仿宋_GBK" w:cs="Times New Roman"/>
          <w:spacing w:val="0"/>
          <w:w w:val="100"/>
          <w:sz w:val="32"/>
          <w:szCs w:val="32"/>
        </w:rPr>
        <w:t>实际征收土地范围以最终批准文件为准。</w:t>
      </w:r>
    </w:p>
    <w:p w14:paraId="7F3C5CD1">
      <w:pPr>
        <w:keepNext w:val="0"/>
        <w:keepLines w:val="0"/>
        <w:pageBreakBefore w:val="0"/>
        <w:widowControl/>
        <w:kinsoku/>
        <w:wordWrap/>
        <w:overflowPunct/>
        <w:topLinePunct w:val="0"/>
        <w:autoSpaceDE w:val="0"/>
        <w:autoSpaceDN w:val="0"/>
        <w:bidi w:val="0"/>
        <w:adjustRightInd w:val="0"/>
        <w:snapToGrid w:val="0"/>
        <w:spacing w:line="570" w:lineRule="exact"/>
        <w:ind w:left="0" w:right="0" w:firstLine="640" w:firstLineChars="200"/>
        <w:jc w:val="both"/>
        <w:textAlignment w:val="baseline"/>
        <w:rPr>
          <w:rFonts w:hint="default" w:ascii="Times New Roman" w:hAnsi="Times New Roman" w:eastAsia="方正黑体_GBK" w:cs="Times New Roman"/>
          <w:spacing w:val="0"/>
          <w:w w:val="100"/>
          <w:sz w:val="32"/>
          <w:szCs w:val="32"/>
        </w:rPr>
      </w:pPr>
      <w:r>
        <w:rPr>
          <w:rFonts w:hint="default" w:ascii="Times New Roman" w:hAnsi="Times New Roman" w:eastAsia="方正黑体_GBK" w:cs="Times New Roman"/>
          <w:spacing w:val="0"/>
          <w:w w:val="100"/>
          <w:sz w:val="32"/>
          <w:szCs w:val="32"/>
        </w:rPr>
        <w:t>二、征收目的</w:t>
      </w:r>
    </w:p>
    <w:p w14:paraId="493005E1">
      <w:pPr>
        <w:pStyle w:val="6"/>
        <w:keepNext w:val="0"/>
        <w:keepLines w:val="0"/>
        <w:pageBreakBefore w:val="0"/>
        <w:widowControl/>
        <w:kinsoku/>
        <w:wordWrap/>
        <w:overflowPunct/>
        <w:topLinePunct w:val="0"/>
        <w:autoSpaceDE w:val="0"/>
        <w:autoSpaceDN w:val="0"/>
        <w:bidi w:val="0"/>
        <w:adjustRightInd w:val="0"/>
        <w:snapToGrid w:val="0"/>
        <w:spacing w:line="570" w:lineRule="exact"/>
        <w:ind w:left="0" w:right="0" w:firstLine="640" w:firstLineChars="200"/>
        <w:jc w:val="both"/>
        <w:textAlignment w:val="baseline"/>
        <w:rPr>
          <w:rFonts w:hint="default" w:ascii="Times New Roman" w:hAnsi="Times New Roman" w:eastAsia="方正仿宋_GBK" w:cs="Times New Roman"/>
          <w:spacing w:val="0"/>
          <w:w w:val="100"/>
          <w:sz w:val="32"/>
          <w:szCs w:val="32"/>
        </w:rPr>
      </w:pPr>
      <w:r>
        <w:rPr>
          <w:rFonts w:hint="default" w:ascii="Times New Roman" w:hAnsi="Times New Roman" w:eastAsia="方正仿宋_GBK" w:cs="Times New Roman"/>
          <w:spacing w:val="0"/>
          <w:w w:val="100"/>
          <w:sz w:val="32"/>
          <w:szCs w:val="32"/>
        </w:rPr>
        <w:t>根据《中华人民共和国土地管理法》第四十五条的规定，本次拟征收土地目的为</w:t>
      </w:r>
      <w:r>
        <w:rPr>
          <w:rFonts w:hint="default" w:ascii="Times New Roman" w:hAnsi="Times New Roman" w:eastAsia="方正仿宋_GBK" w:cs="Times New Roman"/>
          <w:b w:val="0"/>
          <w:bCs w:val="0"/>
          <w:spacing w:val="0"/>
          <w:w w:val="100"/>
          <w:sz w:val="32"/>
          <w:szCs w:val="32"/>
          <w:u w:val="none" w:color="auto"/>
        </w:rPr>
        <w:t>由政府组织实施的</w:t>
      </w:r>
      <w:r>
        <w:rPr>
          <w:rFonts w:hint="eastAsia" w:ascii="Times New Roman" w:hAnsi="Times New Roman" w:eastAsia="方正仿宋_GBK" w:cs="Times New Roman"/>
          <w:b w:val="0"/>
          <w:bCs w:val="0"/>
          <w:spacing w:val="0"/>
          <w:w w:val="100"/>
          <w:sz w:val="32"/>
          <w:szCs w:val="32"/>
          <w:u w:val="none" w:color="auto"/>
          <w:lang w:val="en-US" w:eastAsia="zh-CN"/>
        </w:rPr>
        <w:t>交通基础设施建设</w:t>
      </w:r>
      <w:r>
        <w:rPr>
          <w:rFonts w:hint="default" w:ascii="Times New Roman" w:hAnsi="Times New Roman" w:eastAsia="方正仿宋_GBK" w:cs="Times New Roman"/>
          <w:b w:val="0"/>
          <w:bCs w:val="0"/>
          <w:spacing w:val="0"/>
          <w:w w:val="100"/>
          <w:sz w:val="32"/>
          <w:szCs w:val="32"/>
          <w:u w:val="none" w:color="auto"/>
        </w:rPr>
        <w:t>需要用地</w:t>
      </w:r>
      <w:r>
        <w:rPr>
          <w:rFonts w:hint="default" w:ascii="Times New Roman" w:hAnsi="Times New Roman" w:eastAsia="方正仿宋_GBK" w:cs="Times New Roman"/>
          <w:spacing w:val="0"/>
          <w:w w:val="100"/>
          <w:sz w:val="32"/>
          <w:szCs w:val="32"/>
        </w:rPr>
        <w:t>，符合公共利益的需要。</w:t>
      </w:r>
    </w:p>
    <w:p w14:paraId="58DCD53A">
      <w:pPr>
        <w:keepNext w:val="0"/>
        <w:keepLines w:val="0"/>
        <w:pageBreakBefore w:val="0"/>
        <w:widowControl/>
        <w:kinsoku/>
        <w:wordWrap/>
        <w:overflowPunct/>
        <w:topLinePunct w:val="0"/>
        <w:autoSpaceDE w:val="0"/>
        <w:autoSpaceDN w:val="0"/>
        <w:bidi w:val="0"/>
        <w:adjustRightInd w:val="0"/>
        <w:snapToGrid w:val="0"/>
        <w:spacing w:line="570" w:lineRule="exact"/>
        <w:ind w:left="0" w:right="0" w:firstLine="640" w:firstLineChars="200"/>
        <w:jc w:val="both"/>
        <w:textAlignment w:val="baseline"/>
        <w:rPr>
          <w:rFonts w:hint="default" w:ascii="Times New Roman" w:hAnsi="Times New Roman" w:eastAsia="方正黑体_GBK" w:cs="Times New Roman"/>
          <w:spacing w:val="0"/>
          <w:w w:val="100"/>
          <w:sz w:val="32"/>
          <w:szCs w:val="32"/>
        </w:rPr>
      </w:pPr>
      <w:r>
        <w:rPr>
          <w:rFonts w:hint="default" w:ascii="Times New Roman" w:hAnsi="Times New Roman" w:eastAsia="方正黑体_GBK" w:cs="Times New Roman"/>
          <w:spacing w:val="0"/>
          <w:w w:val="100"/>
          <w:sz w:val="32"/>
          <w:szCs w:val="32"/>
        </w:rPr>
        <w:t>三、土地现状</w:t>
      </w:r>
    </w:p>
    <w:p w14:paraId="54B66C44">
      <w:pPr>
        <w:pStyle w:val="6"/>
        <w:keepNext w:val="0"/>
        <w:keepLines w:val="0"/>
        <w:pageBreakBefore w:val="0"/>
        <w:widowControl/>
        <w:kinsoku/>
        <w:wordWrap/>
        <w:overflowPunct/>
        <w:topLinePunct w:val="0"/>
        <w:autoSpaceDE w:val="0"/>
        <w:autoSpaceDN w:val="0"/>
        <w:bidi w:val="0"/>
        <w:adjustRightInd w:val="0"/>
        <w:snapToGrid w:val="0"/>
        <w:spacing w:line="570" w:lineRule="exact"/>
        <w:ind w:left="0" w:right="0" w:firstLine="640" w:firstLineChars="200"/>
        <w:jc w:val="both"/>
        <w:textAlignment w:val="baseline"/>
        <w:rPr>
          <w:rFonts w:hint="eastAsia" w:ascii="Times New Roman" w:hAnsi="Times New Roman" w:eastAsia="方正仿宋_GBK" w:cs="Times New Roman"/>
          <w:b w:val="0"/>
          <w:bCs w:val="0"/>
          <w:spacing w:val="0"/>
          <w:w w:val="100"/>
          <w:sz w:val="32"/>
          <w:szCs w:val="32"/>
          <w:u w:val="none" w:color="auto"/>
          <w:lang w:eastAsia="zh-CN"/>
        </w:rPr>
      </w:pPr>
      <w:r>
        <w:rPr>
          <w:rFonts w:hint="default" w:ascii="Times New Roman" w:hAnsi="Times New Roman" w:eastAsia="方正仿宋_GBK" w:cs="Times New Roman"/>
          <w:b w:val="0"/>
          <w:bCs w:val="0"/>
          <w:spacing w:val="0"/>
          <w:w w:val="100"/>
          <w:sz w:val="32"/>
          <w:szCs w:val="32"/>
          <w:u w:val="none" w:color="auto"/>
        </w:rPr>
        <w:t>根据拟征收土地现状调查情况，本次拟征收土地现状如下</w:t>
      </w:r>
      <w:r>
        <w:rPr>
          <w:rFonts w:hint="eastAsia" w:ascii="Times New Roman" w:hAnsi="Times New Roman" w:eastAsia="方正仿宋_GBK" w:cs="Times New Roman"/>
          <w:b w:val="0"/>
          <w:bCs w:val="0"/>
          <w:spacing w:val="0"/>
          <w:w w:val="100"/>
          <w:sz w:val="32"/>
          <w:szCs w:val="32"/>
          <w:u w:val="none" w:color="auto"/>
          <w:lang w:eastAsia="zh-CN"/>
        </w:rPr>
        <w:t>。</w:t>
      </w:r>
    </w:p>
    <w:p w14:paraId="211D0B23">
      <w:pPr>
        <w:pStyle w:val="6"/>
        <w:keepNext w:val="0"/>
        <w:keepLines w:val="0"/>
        <w:pageBreakBefore w:val="0"/>
        <w:widowControl/>
        <w:kinsoku/>
        <w:wordWrap/>
        <w:overflowPunct/>
        <w:topLinePunct w:val="0"/>
        <w:autoSpaceDE w:val="0"/>
        <w:autoSpaceDN w:val="0"/>
        <w:bidi w:val="0"/>
        <w:adjustRightInd w:val="0"/>
        <w:snapToGrid w:val="0"/>
        <w:spacing w:after="0" w:line="570" w:lineRule="exact"/>
        <w:ind w:left="0" w:right="0" w:firstLine="640" w:firstLineChars="200"/>
        <w:jc w:val="both"/>
        <w:textAlignment w:val="baseline"/>
        <w:rPr>
          <w:rFonts w:hint="default" w:ascii="Times New Roman" w:hAnsi="Times New Roman" w:eastAsia="方正仿宋_GBK" w:cs="Times New Roman"/>
          <w:b w:val="0"/>
          <w:bCs w:val="0"/>
          <w:snapToGrid/>
          <w:spacing w:val="0"/>
          <w:w w:val="100"/>
          <w:kern w:val="0"/>
          <w:sz w:val="32"/>
          <w:szCs w:val="32"/>
          <w:u w:val="none" w:color="auto"/>
          <w:lang w:val="en-US" w:eastAsia="zh-CN"/>
        </w:rPr>
      </w:pPr>
      <w:r>
        <w:rPr>
          <w:rFonts w:hint="eastAsia" w:ascii="Times New Roman" w:hAnsi="Times New Roman" w:eastAsia="方正仿宋_GBK" w:cs="Times New Roman"/>
          <w:b w:val="0"/>
          <w:bCs w:val="0"/>
          <w:snapToGrid/>
          <w:spacing w:val="0"/>
          <w:w w:val="100"/>
          <w:kern w:val="0"/>
          <w:sz w:val="32"/>
          <w:szCs w:val="32"/>
          <w:u w:val="none" w:color="auto"/>
          <w:lang w:val="en-US" w:eastAsia="zh-CN"/>
        </w:rPr>
        <w:t>1.</w:t>
      </w:r>
      <w:r>
        <w:rPr>
          <w:rFonts w:hint="default" w:ascii="Times New Roman" w:hAnsi="Times New Roman" w:eastAsia="方正仿宋_GBK" w:cs="Times New Roman"/>
          <w:b w:val="0"/>
          <w:bCs w:val="0"/>
          <w:snapToGrid/>
          <w:spacing w:val="0"/>
          <w:w w:val="100"/>
          <w:kern w:val="0"/>
          <w:sz w:val="32"/>
          <w:szCs w:val="32"/>
          <w:u w:val="none" w:color="auto"/>
          <w:lang w:val="en-US" w:eastAsia="zh-CN"/>
        </w:rPr>
        <w:t>拟征收阿纳库勒乡结然塔拉村集体所有土地2.9162公顷（43.743亩），其中：农用地2.0168公顷（30.252亩），</w:t>
      </w:r>
      <w:r>
        <w:rPr>
          <w:rFonts w:hint="eastAsia" w:ascii="Times New Roman" w:hAnsi="Times New Roman" w:eastAsia="方正仿宋_GBK" w:cs="Times New Roman"/>
          <w:b w:val="0"/>
          <w:bCs w:val="0"/>
          <w:snapToGrid/>
          <w:spacing w:val="0"/>
          <w:w w:val="100"/>
          <w:kern w:val="0"/>
          <w:sz w:val="32"/>
          <w:szCs w:val="32"/>
          <w:u w:val="none" w:color="auto"/>
          <w:lang w:val="en-US" w:eastAsia="zh-CN"/>
        </w:rPr>
        <w:t>含耕地1.2424公顷（18.636亩）、林地0.3416公顷（5.124亩）、草地0.4306公顷（6.459亩）、农村道路0.0005公顷（0.0075亩）、沟渠0.0017公顷（0.0255亩）；建设用地0.8994公顷（13.491亩）。</w:t>
      </w:r>
    </w:p>
    <w:p w14:paraId="131B3853">
      <w:pPr>
        <w:pStyle w:val="6"/>
        <w:keepNext w:val="0"/>
        <w:keepLines w:val="0"/>
        <w:pageBreakBefore w:val="0"/>
        <w:widowControl/>
        <w:kinsoku/>
        <w:wordWrap/>
        <w:overflowPunct/>
        <w:topLinePunct w:val="0"/>
        <w:autoSpaceDE w:val="0"/>
        <w:autoSpaceDN w:val="0"/>
        <w:bidi w:val="0"/>
        <w:adjustRightInd w:val="0"/>
        <w:snapToGrid w:val="0"/>
        <w:spacing w:after="0" w:line="570" w:lineRule="exact"/>
        <w:ind w:left="0" w:right="0" w:firstLine="640" w:firstLineChars="200"/>
        <w:jc w:val="both"/>
        <w:textAlignment w:val="baseline"/>
        <w:rPr>
          <w:rFonts w:hint="eastAsia" w:ascii="Times New Roman" w:hAnsi="Times New Roman" w:eastAsia="方正仿宋_GBK" w:cs="Times New Roman"/>
          <w:b w:val="0"/>
          <w:bCs w:val="0"/>
          <w:snapToGrid/>
          <w:spacing w:val="0"/>
          <w:w w:val="100"/>
          <w:kern w:val="0"/>
          <w:sz w:val="32"/>
          <w:szCs w:val="32"/>
          <w:u w:val="none" w:color="auto"/>
          <w:lang w:val="en-US" w:eastAsia="zh-CN"/>
        </w:rPr>
      </w:pPr>
      <w:r>
        <w:rPr>
          <w:rFonts w:hint="eastAsia" w:ascii="Times New Roman" w:hAnsi="Times New Roman" w:eastAsia="方正仿宋_GBK" w:cs="Times New Roman"/>
          <w:b w:val="0"/>
          <w:bCs w:val="0"/>
          <w:snapToGrid/>
          <w:spacing w:val="0"/>
          <w:w w:val="100"/>
          <w:kern w:val="0"/>
          <w:sz w:val="32"/>
          <w:szCs w:val="32"/>
          <w:u w:val="none" w:color="auto"/>
          <w:lang w:val="en-US" w:eastAsia="zh-CN"/>
        </w:rPr>
        <w:t>2.</w:t>
      </w:r>
      <w:r>
        <w:rPr>
          <w:rFonts w:hint="default" w:ascii="Times New Roman" w:hAnsi="Times New Roman" w:eastAsia="方正仿宋_GBK" w:cs="Times New Roman"/>
          <w:b w:val="0"/>
          <w:bCs w:val="0"/>
          <w:snapToGrid/>
          <w:spacing w:val="0"/>
          <w:w w:val="100"/>
          <w:kern w:val="0"/>
          <w:sz w:val="32"/>
          <w:szCs w:val="32"/>
          <w:u w:val="none" w:color="auto"/>
          <w:lang w:val="en-US" w:eastAsia="zh-CN"/>
        </w:rPr>
        <w:t>拟征收阿纳库勒乡胡木旦贝希村集体所有土地0.4127公顷（6.1905亩），其中：农用地0.4127公顷（6.1905亩），含耕地0.3811公顷（5.7165亩）、</w:t>
      </w:r>
      <w:r>
        <w:rPr>
          <w:rFonts w:hint="eastAsia" w:ascii="Times New Roman" w:hAnsi="Times New Roman" w:eastAsia="方正仿宋_GBK" w:cs="Times New Roman"/>
          <w:b w:val="0"/>
          <w:bCs w:val="0"/>
          <w:snapToGrid/>
          <w:spacing w:val="0"/>
          <w:w w:val="100"/>
          <w:kern w:val="0"/>
          <w:sz w:val="32"/>
          <w:szCs w:val="32"/>
          <w:u w:val="none" w:color="auto"/>
          <w:lang w:val="en-US" w:eastAsia="zh-CN"/>
        </w:rPr>
        <w:t>沟渠0.0316</w:t>
      </w:r>
      <w:r>
        <w:rPr>
          <w:rFonts w:hint="default" w:ascii="Times New Roman" w:hAnsi="Times New Roman" w:eastAsia="方正仿宋_GBK" w:cs="Times New Roman"/>
          <w:b w:val="0"/>
          <w:bCs w:val="0"/>
          <w:snapToGrid/>
          <w:spacing w:val="0"/>
          <w:w w:val="100"/>
          <w:kern w:val="0"/>
          <w:sz w:val="32"/>
          <w:szCs w:val="32"/>
          <w:u w:val="none" w:color="auto"/>
          <w:lang w:val="en-US" w:eastAsia="zh-CN"/>
        </w:rPr>
        <w:t>公顷（0.474亩）</w:t>
      </w:r>
      <w:r>
        <w:rPr>
          <w:rFonts w:hint="eastAsia" w:ascii="Times New Roman" w:hAnsi="Times New Roman" w:eastAsia="方正仿宋_GBK" w:cs="Times New Roman"/>
          <w:b w:val="0"/>
          <w:bCs w:val="0"/>
          <w:snapToGrid/>
          <w:spacing w:val="0"/>
          <w:w w:val="100"/>
          <w:kern w:val="0"/>
          <w:sz w:val="32"/>
          <w:szCs w:val="32"/>
          <w:u w:val="none" w:color="auto"/>
          <w:lang w:val="en-US" w:eastAsia="zh-CN"/>
        </w:rPr>
        <w:t>。</w:t>
      </w:r>
    </w:p>
    <w:p w14:paraId="30EDEA1E">
      <w:pPr>
        <w:pStyle w:val="6"/>
        <w:keepNext w:val="0"/>
        <w:keepLines w:val="0"/>
        <w:pageBreakBefore w:val="0"/>
        <w:widowControl/>
        <w:kinsoku/>
        <w:wordWrap/>
        <w:overflowPunct/>
        <w:topLinePunct w:val="0"/>
        <w:autoSpaceDE w:val="0"/>
        <w:autoSpaceDN w:val="0"/>
        <w:bidi w:val="0"/>
        <w:adjustRightInd w:val="0"/>
        <w:snapToGrid w:val="0"/>
        <w:spacing w:after="0" w:line="570" w:lineRule="exact"/>
        <w:ind w:left="0" w:right="0" w:firstLine="640" w:firstLineChars="200"/>
        <w:jc w:val="both"/>
        <w:textAlignment w:val="baseline"/>
        <w:rPr>
          <w:rFonts w:hint="eastAsia" w:ascii="Times New Roman" w:hAnsi="Times New Roman" w:eastAsia="方正仿宋_GBK" w:cs="Times New Roman"/>
          <w:b w:val="0"/>
          <w:bCs w:val="0"/>
          <w:snapToGrid/>
          <w:spacing w:val="0"/>
          <w:w w:val="100"/>
          <w:kern w:val="0"/>
          <w:sz w:val="32"/>
          <w:szCs w:val="32"/>
          <w:u w:val="none" w:color="auto"/>
          <w:lang w:val="en-US" w:eastAsia="zh-CN"/>
        </w:rPr>
      </w:pPr>
      <w:r>
        <w:rPr>
          <w:rFonts w:hint="eastAsia" w:ascii="Times New Roman" w:hAnsi="Times New Roman" w:eastAsia="方正仿宋_GBK" w:cs="Times New Roman"/>
          <w:b w:val="0"/>
          <w:bCs w:val="0"/>
          <w:snapToGrid/>
          <w:spacing w:val="0"/>
          <w:w w:val="100"/>
          <w:kern w:val="0"/>
          <w:sz w:val="32"/>
          <w:szCs w:val="32"/>
          <w:u w:val="none" w:color="auto"/>
          <w:lang w:val="en-US" w:eastAsia="zh-CN"/>
        </w:rPr>
        <w:t>3.拟征收阿纳库勒乡阿拉格尔且克村集体所有土地1.9355公顷（29.0325亩），其中：农用地1.9355公顷（29.0325亩），含耕地1.794公顷（26.91亩）、林地0.1415公顷（2.1225亩）。</w:t>
      </w:r>
    </w:p>
    <w:p w14:paraId="5BB5A8BB">
      <w:pPr>
        <w:pStyle w:val="6"/>
        <w:keepNext w:val="0"/>
        <w:keepLines w:val="0"/>
        <w:pageBreakBefore w:val="0"/>
        <w:widowControl/>
        <w:kinsoku/>
        <w:wordWrap/>
        <w:overflowPunct/>
        <w:topLinePunct w:val="0"/>
        <w:autoSpaceDE w:val="0"/>
        <w:autoSpaceDN w:val="0"/>
        <w:bidi w:val="0"/>
        <w:adjustRightInd w:val="0"/>
        <w:snapToGrid w:val="0"/>
        <w:spacing w:after="0" w:line="570" w:lineRule="exact"/>
        <w:ind w:left="0" w:right="0" w:firstLine="640" w:firstLineChars="200"/>
        <w:jc w:val="both"/>
        <w:textAlignment w:val="baseline"/>
        <w:rPr>
          <w:rFonts w:hint="eastAsia" w:ascii="Times New Roman" w:hAnsi="Times New Roman" w:eastAsia="方正仿宋_GBK" w:cs="Times New Roman"/>
          <w:b w:val="0"/>
          <w:bCs w:val="0"/>
          <w:snapToGrid/>
          <w:spacing w:val="0"/>
          <w:w w:val="100"/>
          <w:kern w:val="0"/>
          <w:sz w:val="32"/>
          <w:szCs w:val="32"/>
          <w:u w:val="none" w:color="auto"/>
          <w:lang w:val="en-US" w:eastAsia="zh-CN"/>
        </w:rPr>
      </w:pPr>
      <w:r>
        <w:rPr>
          <w:rFonts w:hint="eastAsia" w:ascii="Times New Roman" w:hAnsi="Times New Roman" w:eastAsia="方正仿宋_GBK" w:cs="Times New Roman"/>
          <w:b w:val="0"/>
          <w:bCs w:val="0"/>
          <w:snapToGrid/>
          <w:spacing w:val="0"/>
          <w:w w:val="100"/>
          <w:kern w:val="0"/>
          <w:sz w:val="32"/>
          <w:szCs w:val="32"/>
          <w:u w:val="none" w:color="auto"/>
          <w:lang w:val="en-US" w:eastAsia="zh-CN"/>
        </w:rPr>
        <w:t>4.拟征收阿纳库勒乡阿恰勒村集体所有土地4.8764公顷（73.146亩），其中：农用地4.7513公顷（71.2695亩），含耕地4.3896公顷（65.844亩）、林地0.2818公顷（4.227亩）、农村道路0.0397公顷（0.5955亩）、沟渠0.0402公顷（0.603亩）；建设用地0.1251公顷（1.8765亩）。</w:t>
      </w:r>
    </w:p>
    <w:p w14:paraId="1E83E574">
      <w:pPr>
        <w:pStyle w:val="6"/>
        <w:keepNext w:val="0"/>
        <w:keepLines w:val="0"/>
        <w:pageBreakBefore w:val="0"/>
        <w:widowControl/>
        <w:kinsoku/>
        <w:wordWrap/>
        <w:overflowPunct/>
        <w:topLinePunct w:val="0"/>
        <w:autoSpaceDE w:val="0"/>
        <w:autoSpaceDN w:val="0"/>
        <w:bidi w:val="0"/>
        <w:adjustRightInd w:val="0"/>
        <w:snapToGrid w:val="0"/>
        <w:spacing w:after="0" w:line="570" w:lineRule="exact"/>
        <w:ind w:left="0" w:right="0" w:firstLine="640" w:firstLineChars="200"/>
        <w:jc w:val="both"/>
        <w:textAlignment w:val="baseline"/>
        <w:rPr>
          <w:rFonts w:hint="default" w:ascii="Times New Roman" w:hAnsi="Times New Roman" w:eastAsia="方正仿宋_GBK" w:cs="Times New Roman"/>
          <w:b w:val="0"/>
          <w:bCs w:val="0"/>
          <w:snapToGrid/>
          <w:spacing w:val="0"/>
          <w:w w:val="100"/>
          <w:kern w:val="0"/>
          <w:sz w:val="32"/>
          <w:szCs w:val="32"/>
          <w:u w:val="none" w:color="auto"/>
          <w:lang w:val="en-US" w:eastAsia="zh-CN"/>
        </w:rPr>
      </w:pPr>
      <w:r>
        <w:rPr>
          <w:rFonts w:hint="eastAsia" w:ascii="Times New Roman" w:hAnsi="Times New Roman" w:eastAsia="方正仿宋_GBK" w:cs="Times New Roman"/>
          <w:b w:val="0"/>
          <w:bCs w:val="0"/>
          <w:snapToGrid/>
          <w:spacing w:val="0"/>
          <w:w w:val="100"/>
          <w:kern w:val="0"/>
          <w:sz w:val="32"/>
          <w:szCs w:val="32"/>
          <w:u w:val="none" w:color="auto"/>
          <w:lang w:val="en-US" w:eastAsia="zh-CN"/>
        </w:rPr>
        <w:t>5.拟征收阿纳库勒乡墩买里村集体所有土地3.738公顷（56.07亩），其中：农用地3.5556公顷（53.334亩），含耕地3.2499公顷（48.7485亩）、林地0.0789公顷（1.1835亩）、农村道路0.1328公顷（1.992亩）、沟渠0.094公顷（1.41亩）；建设用地0.1824公顷（2.736亩）。</w:t>
      </w:r>
    </w:p>
    <w:p w14:paraId="0CB2E7F3">
      <w:pPr>
        <w:keepNext w:val="0"/>
        <w:keepLines w:val="0"/>
        <w:pageBreakBefore w:val="0"/>
        <w:widowControl/>
        <w:kinsoku/>
        <w:wordWrap/>
        <w:overflowPunct/>
        <w:topLinePunct w:val="0"/>
        <w:autoSpaceDE w:val="0"/>
        <w:autoSpaceDN w:val="0"/>
        <w:bidi w:val="0"/>
        <w:adjustRightInd w:val="0"/>
        <w:snapToGrid w:val="0"/>
        <w:spacing w:line="570" w:lineRule="exact"/>
        <w:ind w:left="0" w:right="0" w:firstLine="640" w:firstLineChars="200"/>
        <w:jc w:val="both"/>
        <w:textAlignment w:val="baseline"/>
        <w:rPr>
          <w:rFonts w:hint="default" w:ascii="Times New Roman" w:hAnsi="Times New Roman" w:eastAsia="方正黑体_GBK" w:cs="Times New Roman"/>
          <w:spacing w:val="0"/>
          <w:w w:val="100"/>
          <w:sz w:val="32"/>
          <w:szCs w:val="32"/>
        </w:rPr>
      </w:pPr>
      <w:r>
        <w:rPr>
          <w:rFonts w:hint="default" w:ascii="Times New Roman" w:hAnsi="Times New Roman" w:eastAsia="方正黑体_GBK" w:cs="Times New Roman"/>
          <w:spacing w:val="0"/>
          <w:w w:val="100"/>
          <w:sz w:val="32"/>
          <w:szCs w:val="32"/>
        </w:rPr>
        <w:t>四、补偿方式和标准</w:t>
      </w:r>
    </w:p>
    <w:p w14:paraId="7ECA1539">
      <w:pPr>
        <w:pStyle w:val="6"/>
        <w:keepNext w:val="0"/>
        <w:keepLines w:val="0"/>
        <w:pageBreakBefore w:val="0"/>
        <w:widowControl/>
        <w:kinsoku/>
        <w:wordWrap/>
        <w:overflowPunct/>
        <w:topLinePunct w:val="0"/>
        <w:autoSpaceDE w:val="0"/>
        <w:autoSpaceDN w:val="0"/>
        <w:bidi w:val="0"/>
        <w:adjustRightInd w:val="0"/>
        <w:snapToGrid w:val="0"/>
        <w:spacing w:line="570" w:lineRule="exact"/>
        <w:ind w:left="0" w:right="0" w:firstLine="643" w:firstLineChars="200"/>
        <w:jc w:val="both"/>
        <w:textAlignment w:val="baseline"/>
        <w:rPr>
          <w:rFonts w:hint="eastAsia" w:ascii="方正楷体_GBK" w:hAnsi="方正楷体_GBK" w:eastAsia="方正楷体_GBK" w:cs="方正楷体_GBK"/>
          <w:b/>
          <w:bCs/>
          <w:spacing w:val="0"/>
          <w:w w:val="100"/>
          <w:sz w:val="32"/>
          <w:szCs w:val="32"/>
        </w:rPr>
      </w:pPr>
      <w:r>
        <w:rPr>
          <w:rFonts w:hint="eastAsia" w:ascii="方正楷体_GBK" w:hAnsi="方正楷体_GBK" w:eastAsia="方正楷体_GBK" w:cs="方正楷体_GBK"/>
          <w:b/>
          <w:bCs/>
          <w:spacing w:val="0"/>
          <w:w w:val="100"/>
          <w:sz w:val="32"/>
          <w:szCs w:val="32"/>
        </w:rPr>
        <w:t>（一）土地补偿费和安置补助费标准</w:t>
      </w:r>
    </w:p>
    <w:p w14:paraId="5E113579">
      <w:pPr>
        <w:pStyle w:val="6"/>
        <w:keepNext w:val="0"/>
        <w:keepLines w:val="0"/>
        <w:pageBreakBefore w:val="0"/>
        <w:widowControl/>
        <w:kinsoku/>
        <w:wordWrap/>
        <w:overflowPunct/>
        <w:topLinePunct w:val="0"/>
        <w:autoSpaceDE w:val="0"/>
        <w:autoSpaceDN w:val="0"/>
        <w:bidi w:val="0"/>
        <w:adjustRightInd w:val="0"/>
        <w:snapToGrid w:val="0"/>
        <w:spacing w:after="0" w:line="570" w:lineRule="exact"/>
        <w:ind w:left="0" w:right="0" w:firstLine="640" w:firstLineChars="200"/>
        <w:jc w:val="both"/>
        <w:textAlignment w:val="baseline"/>
        <w:rPr>
          <w:rFonts w:hint="default" w:ascii="Times New Roman" w:hAnsi="Times New Roman" w:eastAsia="方正仿宋_GBK" w:cs="Times New Roman"/>
          <w:snapToGrid/>
          <w:spacing w:val="0"/>
          <w:w w:val="100"/>
          <w:kern w:val="0"/>
          <w:sz w:val="32"/>
          <w:szCs w:val="32"/>
        </w:rPr>
      </w:pPr>
      <w:r>
        <w:rPr>
          <w:rFonts w:hint="default" w:ascii="Times New Roman" w:hAnsi="Times New Roman" w:eastAsia="方正仿宋_GBK" w:cs="Times New Roman"/>
          <w:snapToGrid/>
          <w:spacing w:val="0"/>
          <w:w w:val="100"/>
          <w:kern w:val="0"/>
          <w:sz w:val="32"/>
          <w:szCs w:val="32"/>
        </w:rPr>
        <w:t>根据《关于重新公布自治区征收农用地区片综合地价标准的通知》（新自然资规〔2024〕1号）、《巴楚县人民政府关于重新公布实施巴楚县征收农用地区片综合地价的通知》的规定，土地补偿费标准为</w:t>
      </w:r>
      <w:r>
        <w:rPr>
          <w:rFonts w:hint="eastAsia" w:ascii="Times New Roman" w:hAnsi="Times New Roman" w:eastAsia="方正仿宋_GBK" w:cs="Times New Roman"/>
          <w:snapToGrid/>
          <w:spacing w:val="0"/>
          <w:w w:val="100"/>
          <w:kern w:val="0"/>
          <w:sz w:val="32"/>
          <w:szCs w:val="32"/>
          <w:lang w:val="en-US" w:eastAsia="zh-CN"/>
        </w:rPr>
        <w:t>16.5645</w:t>
      </w:r>
      <w:r>
        <w:rPr>
          <w:rFonts w:hint="default" w:ascii="Times New Roman" w:hAnsi="Times New Roman" w:eastAsia="方正仿宋_GBK" w:cs="Times New Roman"/>
          <w:snapToGrid/>
          <w:spacing w:val="0"/>
          <w:w w:val="100"/>
          <w:kern w:val="0"/>
          <w:sz w:val="32"/>
          <w:szCs w:val="32"/>
        </w:rPr>
        <w:t>万元/公顷，安置补助费标准为44.7855万元/公顷。</w:t>
      </w:r>
    </w:p>
    <w:p w14:paraId="6B481F30">
      <w:pPr>
        <w:pStyle w:val="6"/>
        <w:keepNext w:val="0"/>
        <w:keepLines w:val="0"/>
        <w:pageBreakBefore w:val="0"/>
        <w:widowControl/>
        <w:kinsoku/>
        <w:wordWrap/>
        <w:overflowPunct/>
        <w:topLinePunct w:val="0"/>
        <w:autoSpaceDE w:val="0"/>
        <w:autoSpaceDN w:val="0"/>
        <w:bidi w:val="0"/>
        <w:adjustRightInd w:val="0"/>
        <w:snapToGrid w:val="0"/>
        <w:spacing w:line="570" w:lineRule="exact"/>
        <w:ind w:left="0" w:right="0" w:firstLine="643" w:firstLineChars="200"/>
        <w:jc w:val="both"/>
        <w:textAlignment w:val="baseline"/>
        <w:rPr>
          <w:rFonts w:hint="default" w:ascii="方正楷体_GBK" w:hAnsi="方正楷体_GBK" w:eastAsia="方正楷体_GBK" w:cs="方正楷体_GBK"/>
          <w:b/>
          <w:bCs/>
          <w:spacing w:val="0"/>
          <w:w w:val="100"/>
          <w:sz w:val="32"/>
          <w:szCs w:val="32"/>
        </w:rPr>
      </w:pPr>
      <w:r>
        <w:rPr>
          <w:rFonts w:hint="default" w:ascii="方正楷体_GBK" w:hAnsi="方正楷体_GBK" w:eastAsia="方正楷体_GBK" w:cs="方正楷体_GBK"/>
          <w:b/>
          <w:bCs/>
          <w:spacing w:val="0"/>
          <w:w w:val="100"/>
          <w:sz w:val="32"/>
          <w:szCs w:val="32"/>
        </w:rPr>
        <w:t>（二）青苗补偿标准</w:t>
      </w:r>
    </w:p>
    <w:p w14:paraId="670D6114">
      <w:pPr>
        <w:pStyle w:val="6"/>
        <w:keepNext w:val="0"/>
        <w:keepLines w:val="0"/>
        <w:pageBreakBefore w:val="0"/>
        <w:widowControl/>
        <w:kinsoku/>
        <w:wordWrap/>
        <w:overflowPunct/>
        <w:topLinePunct w:val="0"/>
        <w:autoSpaceDE w:val="0"/>
        <w:autoSpaceDN w:val="0"/>
        <w:bidi w:val="0"/>
        <w:adjustRightInd w:val="0"/>
        <w:snapToGrid w:val="0"/>
        <w:spacing w:after="0" w:line="570" w:lineRule="exact"/>
        <w:ind w:left="0" w:right="0" w:firstLine="640" w:firstLineChars="200"/>
        <w:jc w:val="both"/>
        <w:textAlignment w:val="baseline"/>
        <w:rPr>
          <w:rFonts w:hint="default" w:ascii="Times New Roman" w:hAnsi="Times New Roman" w:eastAsia="方正仿宋_GBK" w:cs="Times New Roman"/>
          <w:snapToGrid/>
          <w:spacing w:val="0"/>
          <w:w w:val="100"/>
          <w:kern w:val="0"/>
          <w:sz w:val="32"/>
          <w:szCs w:val="32"/>
        </w:rPr>
      </w:pPr>
      <w:r>
        <w:rPr>
          <w:rFonts w:hint="default" w:ascii="Times New Roman" w:hAnsi="Times New Roman" w:eastAsia="方正仿宋_GBK" w:cs="Times New Roman"/>
          <w:snapToGrid/>
          <w:spacing w:val="0"/>
          <w:w w:val="100"/>
          <w:kern w:val="0"/>
          <w:sz w:val="32"/>
          <w:szCs w:val="32"/>
        </w:rPr>
        <w:t>按《关于下发自治区国土资源系统土地管理行政事业性收费标准的通知》（新计价房〔2001〕500号）、《关于公布实施自治区征地统一年产值标准的通知》（新国土资发〔2011〕19号）的规定执行。</w:t>
      </w:r>
    </w:p>
    <w:p w14:paraId="075A70E8">
      <w:pPr>
        <w:pStyle w:val="6"/>
        <w:keepNext w:val="0"/>
        <w:keepLines w:val="0"/>
        <w:pageBreakBefore w:val="0"/>
        <w:widowControl/>
        <w:kinsoku/>
        <w:wordWrap/>
        <w:overflowPunct/>
        <w:topLinePunct w:val="0"/>
        <w:autoSpaceDE w:val="0"/>
        <w:autoSpaceDN w:val="0"/>
        <w:bidi w:val="0"/>
        <w:adjustRightInd w:val="0"/>
        <w:snapToGrid w:val="0"/>
        <w:spacing w:line="570" w:lineRule="exact"/>
        <w:ind w:left="0" w:right="0" w:firstLine="643" w:firstLineChars="200"/>
        <w:jc w:val="both"/>
        <w:textAlignment w:val="baseline"/>
        <w:rPr>
          <w:rFonts w:hint="default" w:ascii="方正楷体_GBK" w:hAnsi="方正楷体_GBK" w:eastAsia="方正楷体_GBK" w:cs="方正楷体_GBK"/>
          <w:b/>
          <w:bCs/>
          <w:spacing w:val="0"/>
          <w:w w:val="100"/>
          <w:sz w:val="32"/>
          <w:szCs w:val="32"/>
        </w:rPr>
      </w:pPr>
      <w:r>
        <w:rPr>
          <w:rFonts w:hint="default" w:ascii="方正楷体_GBK" w:hAnsi="方正楷体_GBK" w:eastAsia="方正楷体_GBK" w:cs="方正楷体_GBK"/>
          <w:b/>
          <w:bCs/>
          <w:spacing w:val="0"/>
          <w:w w:val="100"/>
          <w:sz w:val="32"/>
          <w:szCs w:val="32"/>
        </w:rPr>
        <w:t>（三）地上附着物补偿标准</w:t>
      </w:r>
    </w:p>
    <w:p w14:paraId="082B2902">
      <w:pPr>
        <w:pStyle w:val="6"/>
        <w:keepNext w:val="0"/>
        <w:keepLines w:val="0"/>
        <w:pageBreakBefore w:val="0"/>
        <w:widowControl/>
        <w:kinsoku/>
        <w:wordWrap/>
        <w:overflowPunct/>
        <w:topLinePunct w:val="0"/>
        <w:autoSpaceDE w:val="0"/>
        <w:autoSpaceDN w:val="0"/>
        <w:bidi w:val="0"/>
        <w:adjustRightInd w:val="0"/>
        <w:snapToGrid w:val="0"/>
        <w:spacing w:line="570" w:lineRule="exact"/>
        <w:ind w:left="0" w:right="0" w:firstLine="640" w:firstLineChars="200"/>
        <w:jc w:val="both"/>
        <w:textAlignment w:val="baseline"/>
        <w:rPr>
          <w:rFonts w:hint="default" w:ascii="Times New Roman" w:hAnsi="Times New Roman" w:eastAsia="方正仿宋_GBK" w:cs="Times New Roman"/>
          <w:spacing w:val="0"/>
          <w:w w:val="100"/>
          <w:sz w:val="32"/>
          <w:szCs w:val="32"/>
        </w:rPr>
      </w:pPr>
      <w:r>
        <w:rPr>
          <w:rFonts w:hint="default" w:ascii="Times New Roman" w:hAnsi="Times New Roman" w:eastAsia="方正仿宋_GBK" w:cs="Times New Roman"/>
          <w:spacing w:val="0"/>
          <w:w w:val="100"/>
          <w:sz w:val="32"/>
          <w:szCs w:val="32"/>
        </w:rPr>
        <w:t>地上附着物补偿按《自治区重点建设项目征地拆迁补偿标准》（新国土资发〔2009〕131号）的规定执行。</w:t>
      </w:r>
    </w:p>
    <w:p w14:paraId="78EBC93B">
      <w:pPr>
        <w:pStyle w:val="6"/>
        <w:keepNext w:val="0"/>
        <w:keepLines w:val="0"/>
        <w:pageBreakBefore w:val="0"/>
        <w:widowControl/>
        <w:numPr>
          <w:ilvl w:val="0"/>
          <w:numId w:val="2"/>
        </w:numPr>
        <w:kinsoku/>
        <w:wordWrap/>
        <w:overflowPunct/>
        <w:topLinePunct w:val="0"/>
        <w:autoSpaceDE w:val="0"/>
        <w:autoSpaceDN w:val="0"/>
        <w:bidi w:val="0"/>
        <w:adjustRightInd w:val="0"/>
        <w:snapToGrid w:val="0"/>
        <w:spacing w:line="570" w:lineRule="exact"/>
        <w:ind w:left="0" w:right="0" w:firstLine="643" w:firstLineChars="200"/>
        <w:jc w:val="both"/>
        <w:textAlignment w:val="baseline"/>
        <w:rPr>
          <w:rFonts w:hint="eastAsia" w:ascii="方正楷体_GBK" w:hAnsi="方正楷体_GBK" w:eastAsia="方正楷体_GBK" w:cs="方正楷体_GBK"/>
          <w:b/>
          <w:bCs/>
          <w:spacing w:val="0"/>
          <w:w w:val="100"/>
          <w:sz w:val="32"/>
          <w:szCs w:val="32"/>
        </w:rPr>
      </w:pPr>
      <w:r>
        <w:rPr>
          <w:rFonts w:hint="eastAsia" w:ascii="方正楷体_GBK" w:hAnsi="方正楷体_GBK" w:eastAsia="方正楷体_GBK" w:cs="方正楷体_GBK"/>
          <w:b/>
          <w:bCs/>
          <w:spacing w:val="0"/>
          <w:w w:val="100"/>
          <w:sz w:val="32"/>
          <w:szCs w:val="32"/>
        </w:rPr>
        <w:t>农村村民住宅和其他房屋</w:t>
      </w:r>
      <w:r>
        <w:rPr>
          <w:rFonts w:hint="eastAsia" w:ascii="方正楷体_GBK" w:hAnsi="方正楷体_GBK" w:eastAsia="方正楷体_GBK" w:cs="方正楷体_GBK"/>
          <w:b/>
          <w:bCs/>
          <w:spacing w:val="0"/>
          <w:w w:val="100"/>
          <w:sz w:val="32"/>
          <w:szCs w:val="32"/>
          <w:lang w:val="en-US" w:eastAsia="zh-CN"/>
        </w:rPr>
        <w:t>补偿标准</w:t>
      </w:r>
    </w:p>
    <w:p w14:paraId="5922ED70">
      <w:pPr>
        <w:pStyle w:val="6"/>
        <w:keepNext w:val="0"/>
        <w:keepLines w:val="0"/>
        <w:pageBreakBefore w:val="0"/>
        <w:widowControl/>
        <w:numPr>
          <w:ilvl w:val="0"/>
          <w:numId w:val="0"/>
        </w:numPr>
        <w:kinsoku/>
        <w:wordWrap/>
        <w:overflowPunct/>
        <w:topLinePunct w:val="0"/>
        <w:autoSpaceDE w:val="0"/>
        <w:autoSpaceDN w:val="0"/>
        <w:bidi w:val="0"/>
        <w:adjustRightInd w:val="0"/>
        <w:snapToGrid w:val="0"/>
        <w:spacing w:line="570" w:lineRule="exact"/>
        <w:ind w:right="0" w:rightChars="0" w:firstLine="640" w:firstLineChars="200"/>
        <w:jc w:val="both"/>
        <w:textAlignment w:val="baseline"/>
        <w:rPr>
          <w:rFonts w:hint="default" w:ascii="Times New Roman" w:hAnsi="Times New Roman" w:eastAsia="方正仿宋_GBK" w:cs="Times New Roman"/>
          <w:spacing w:val="0"/>
          <w:w w:val="100"/>
          <w:sz w:val="32"/>
          <w:szCs w:val="32"/>
        </w:rPr>
      </w:pPr>
      <w:r>
        <w:rPr>
          <w:rFonts w:hint="default" w:ascii="Times New Roman" w:hAnsi="Times New Roman" w:eastAsia="方正仿宋_GBK" w:cs="Times New Roman"/>
          <w:spacing w:val="0"/>
          <w:w w:val="100"/>
          <w:sz w:val="32"/>
          <w:szCs w:val="32"/>
        </w:rPr>
        <w:t>涉及农村村民住宅和其他房屋的，遵照《自治区重点建设项目征地拆迁补偿标准》（新国土资发〔2009〕131号）的规定执行。</w:t>
      </w:r>
    </w:p>
    <w:p w14:paraId="7A042488">
      <w:pPr>
        <w:keepNext w:val="0"/>
        <w:keepLines w:val="0"/>
        <w:pageBreakBefore w:val="0"/>
        <w:widowControl/>
        <w:kinsoku/>
        <w:wordWrap/>
        <w:overflowPunct/>
        <w:topLinePunct w:val="0"/>
        <w:autoSpaceDE w:val="0"/>
        <w:autoSpaceDN w:val="0"/>
        <w:bidi w:val="0"/>
        <w:adjustRightInd w:val="0"/>
        <w:snapToGrid w:val="0"/>
        <w:spacing w:line="570" w:lineRule="exact"/>
        <w:ind w:left="0" w:right="0" w:firstLine="640" w:firstLineChars="200"/>
        <w:jc w:val="both"/>
        <w:textAlignment w:val="baseline"/>
        <w:rPr>
          <w:rFonts w:hint="default" w:ascii="Times New Roman" w:hAnsi="Times New Roman" w:eastAsia="方正黑体_GBK" w:cs="Times New Roman"/>
          <w:spacing w:val="0"/>
          <w:w w:val="100"/>
          <w:sz w:val="32"/>
          <w:szCs w:val="32"/>
        </w:rPr>
      </w:pPr>
      <w:r>
        <w:rPr>
          <w:rFonts w:hint="default" w:ascii="Times New Roman" w:hAnsi="Times New Roman" w:eastAsia="方正黑体_GBK" w:cs="Times New Roman"/>
          <w:spacing w:val="0"/>
          <w:w w:val="100"/>
          <w:sz w:val="32"/>
          <w:szCs w:val="32"/>
        </w:rPr>
        <w:t>五、安置对象、方式及社会保障</w:t>
      </w:r>
    </w:p>
    <w:p w14:paraId="565F2CB6">
      <w:pPr>
        <w:pStyle w:val="6"/>
        <w:keepNext w:val="0"/>
        <w:keepLines w:val="0"/>
        <w:pageBreakBefore w:val="0"/>
        <w:widowControl/>
        <w:kinsoku/>
        <w:wordWrap/>
        <w:overflowPunct/>
        <w:topLinePunct w:val="0"/>
        <w:autoSpaceDE w:val="0"/>
        <w:autoSpaceDN w:val="0"/>
        <w:bidi w:val="0"/>
        <w:adjustRightInd w:val="0"/>
        <w:snapToGrid w:val="0"/>
        <w:spacing w:line="570" w:lineRule="exact"/>
        <w:ind w:left="0" w:right="0" w:firstLine="640" w:firstLineChars="200"/>
        <w:jc w:val="both"/>
        <w:textAlignment w:val="baseline"/>
        <w:rPr>
          <w:rFonts w:hint="default" w:ascii="Times New Roman" w:hAnsi="Times New Roman" w:eastAsia="方正仿宋_GBK" w:cs="Times New Roman"/>
          <w:spacing w:val="0"/>
          <w:w w:val="100"/>
          <w:sz w:val="32"/>
          <w:szCs w:val="32"/>
        </w:rPr>
      </w:pPr>
      <w:r>
        <w:rPr>
          <w:rFonts w:hint="default" w:ascii="Times New Roman" w:hAnsi="Times New Roman" w:eastAsia="方正仿宋_GBK" w:cs="Times New Roman"/>
          <w:spacing w:val="0"/>
          <w:w w:val="100"/>
          <w:sz w:val="32"/>
          <w:szCs w:val="32"/>
        </w:rPr>
        <w:t>本次征收土地涉及被征地农民的安置和社会保障按照《关于印发自治区被征地农民参加基本养老保险实施细则的通知》（新人社发〔2018〕14号）、《关于完善自治区被征地农民参加基本养老保险有关政策的通知》（新人社发〔2017〕86号）的规定执行。</w:t>
      </w:r>
    </w:p>
    <w:p w14:paraId="1EEEC40F">
      <w:pPr>
        <w:pStyle w:val="6"/>
        <w:keepNext w:val="0"/>
        <w:keepLines w:val="0"/>
        <w:pageBreakBefore w:val="0"/>
        <w:widowControl/>
        <w:kinsoku/>
        <w:wordWrap/>
        <w:overflowPunct/>
        <w:topLinePunct w:val="0"/>
        <w:autoSpaceDE w:val="0"/>
        <w:autoSpaceDN w:val="0"/>
        <w:bidi w:val="0"/>
        <w:adjustRightInd w:val="0"/>
        <w:snapToGrid w:val="0"/>
        <w:spacing w:line="570" w:lineRule="exact"/>
        <w:ind w:left="0" w:right="0" w:firstLine="640" w:firstLineChars="200"/>
        <w:jc w:val="both"/>
        <w:textAlignment w:val="baseline"/>
        <w:rPr>
          <w:rFonts w:hint="default" w:ascii="Times New Roman" w:hAnsi="Times New Roman" w:eastAsia="方正仿宋_GBK" w:cs="Times New Roman"/>
          <w:spacing w:val="0"/>
          <w:w w:val="100"/>
          <w:sz w:val="32"/>
          <w:szCs w:val="32"/>
          <w:lang w:val="en-US" w:eastAsia="zh-CN"/>
        </w:rPr>
      </w:pPr>
      <w:r>
        <w:rPr>
          <w:rFonts w:hint="default" w:ascii="Times New Roman" w:hAnsi="Times New Roman" w:eastAsia="方正仿宋_GBK" w:cs="Times New Roman"/>
          <w:spacing w:val="0"/>
          <w:w w:val="100"/>
          <w:sz w:val="32"/>
          <w:szCs w:val="32"/>
        </w:rPr>
        <w:t>特此公告。</w:t>
      </w:r>
      <w:r>
        <w:rPr>
          <w:rFonts w:hint="eastAsia" w:ascii="Times New Roman" w:hAnsi="Times New Roman" w:eastAsia="方正仿宋_GBK" w:cs="Times New Roman"/>
          <w:spacing w:val="0"/>
          <w:w w:val="100"/>
          <w:sz w:val="32"/>
          <w:szCs w:val="32"/>
          <w:lang w:val="en-US" w:eastAsia="zh-CN"/>
        </w:rPr>
        <w:t xml:space="preserve">                 </w:t>
      </w:r>
      <w:bookmarkStart w:id="0" w:name="_GoBack"/>
      <w:bookmarkEnd w:id="0"/>
    </w:p>
    <w:p w14:paraId="21111DDA">
      <w:pPr>
        <w:keepNext w:val="0"/>
        <w:keepLines w:val="0"/>
        <w:pageBreakBefore w:val="0"/>
        <w:widowControl w:val="0"/>
        <w:kinsoku/>
        <w:wordWrap/>
        <w:overflowPunct w:val="0"/>
        <w:topLinePunct w:val="0"/>
        <w:autoSpaceDE/>
        <w:autoSpaceDN/>
        <w:bidi w:val="0"/>
        <w:adjustRightInd w:val="0"/>
        <w:snapToGrid w:val="0"/>
        <w:spacing w:line="570" w:lineRule="exact"/>
        <w:ind w:right="0" w:firstLine="4800" w:firstLineChars="1500"/>
        <w:jc w:val="both"/>
        <w:textAlignment w:val="baseline"/>
        <w:rPr>
          <w:rFonts w:hint="eastAsia" w:ascii="Times New Roman" w:hAnsi="Times New Roman" w:eastAsia="方正仿宋_GBK" w:cs="Times New Roman"/>
          <w:spacing w:val="0"/>
          <w:w w:val="100"/>
          <w:sz w:val="32"/>
          <w:szCs w:val="32"/>
          <w:lang w:val="en-US" w:eastAsia="zh-CN"/>
        </w:rPr>
      </w:pPr>
      <w:r>
        <w:rPr>
          <w:rFonts w:hint="eastAsia" w:ascii="Times New Roman" w:hAnsi="Times New Roman" w:eastAsia="方正仿宋_GBK" w:cs="Times New Roman"/>
          <w:spacing w:val="0"/>
          <w:w w:val="100"/>
          <w:sz w:val="32"/>
          <w:szCs w:val="32"/>
          <w:lang w:val="en-US" w:eastAsia="zh-CN"/>
        </w:rPr>
        <w:t xml:space="preserve">   </w:t>
      </w:r>
      <w:r>
        <w:rPr>
          <w:rFonts w:hint="eastAsia" w:ascii="Times New Roman" w:hAnsi="Times New Roman" w:eastAsia="方正仿宋_GBK" w:cs="Times New Roman"/>
          <w:b w:val="0"/>
          <w:bCs w:val="0"/>
          <w:spacing w:val="0"/>
          <w:w w:val="100"/>
          <w:sz w:val="32"/>
          <w:szCs w:val="32"/>
          <w:u w:val="none" w:color="auto"/>
          <w:lang w:val="en-US" w:eastAsia="zh-CN"/>
        </w:rPr>
        <w:t>巴楚县</w:t>
      </w:r>
      <w:r>
        <w:rPr>
          <w:rFonts w:hint="default" w:ascii="Times New Roman" w:hAnsi="Times New Roman" w:eastAsia="方正仿宋_GBK" w:cs="Times New Roman"/>
          <w:b w:val="0"/>
          <w:bCs w:val="0"/>
          <w:spacing w:val="0"/>
          <w:w w:val="100"/>
          <w:sz w:val="32"/>
          <w:szCs w:val="32"/>
          <w:u w:val="none" w:color="auto"/>
        </w:rPr>
        <w:t>人民政府</w:t>
      </w:r>
    </w:p>
    <w:p w14:paraId="124C6CA8">
      <w:pPr>
        <w:ind w:firstLine="5760" w:firstLineChars="1800"/>
      </w:pPr>
      <w:r>
        <w:rPr>
          <w:rFonts w:hint="default" w:ascii="Times New Roman" w:hAnsi="Times New Roman" w:eastAsia="方正仿宋_GBK" w:cs="Times New Roman"/>
          <w:b w:val="0"/>
          <w:bCs w:val="0"/>
          <w:spacing w:val="0"/>
          <w:w w:val="100"/>
          <w:sz w:val="32"/>
          <w:szCs w:val="32"/>
          <w:u w:val="none" w:color="auto"/>
          <w:lang w:val="en-US" w:eastAsia="zh-CN"/>
        </w:rPr>
        <w:t>202</w:t>
      </w:r>
      <w:r>
        <w:rPr>
          <w:rFonts w:hint="eastAsia" w:ascii="Times New Roman" w:hAnsi="Times New Roman" w:eastAsia="方正仿宋_GBK" w:cs="Times New Roman"/>
          <w:b w:val="0"/>
          <w:bCs w:val="0"/>
          <w:spacing w:val="0"/>
          <w:w w:val="100"/>
          <w:sz w:val="32"/>
          <w:szCs w:val="32"/>
          <w:u w:val="none" w:color="auto"/>
          <w:lang w:val="en-US" w:eastAsia="zh-CN"/>
        </w:rPr>
        <w:t>6</w:t>
      </w:r>
      <w:r>
        <w:rPr>
          <w:rFonts w:hint="default" w:ascii="Times New Roman" w:hAnsi="Times New Roman" w:eastAsia="方正仿宋_GBK" w:cs="Times New Roman"/>
          <w:b w:val="0"/>
          <w:bCs w:val="0"/>
          <w:spacing w:val="0"/>
          <w:w w:val="100"/>
          <w:sz w:val="32"/>
          <w:szCs w:val="32"/>
          <w:u w:val="none" w:color="auto"/>
        </w:rPr>
        <w:t>年</w:t>
      </w:r>
      <w:r>
        <w:rPr>
          <w:rFonts w:hint="eastAsia" w:ascii="Times New Roman" w:hAnsi="Times New Roman" w:eastAsia="方正仿宋_GBK" w:cs="Times New Roman"/>
          <w:b w:val="0"/>
          <w:bCs w:val="0"/>
          <w:spacing w:val="0"/>
          <w:w w:val="100"/>
          <w:sz w:val="32"/>
          <w:szCs w:val="32"/>
          <w:u w:val="none" w:color="auto"/>
          <w:lang w:val="en-US" w:eastAsia="zh-CN"/>
        </w:rPr>
        <w:t>8</w:t>
      </w:r>
      <w:r>
        <w:rPr>
          <w:rFonts w:hint="default" w:ascii="Times New Roman" w:hAnsi="Times New Roman" w:eastAsia="方正仿宋_GBK" w:cs="Times New Roman"/>
          <w:b w:val="0"/>
          <w:bCs w:val="0"/>
          <w:spacing w:val="0"/>
          <w:w w:val="100"/>
          <w:sz w:val="32"/>
          <w:szCs w:val="32"/>
          <w:u w:val="none" w:color="auto"/>
        </w:rPr>
        <w:t>月</w:t>
      </w:r>
      <w:r>
        <w:rPr>
          <w:rFonts w:hint="eastAsia" w:ascii="Times New Roman" w:hAnsi="Times New Roman" w:eastAsia="方正仿宋_GBK" w:cs="Times New Roman"/>
          <w:b w:val="0"/>
          <w:bCs w:val="0"/>
          <w:spacing w:val="0"/>
          <w:w w:val="100"/>
          <w:sz w:val="32"/>
          <w:szCs w:val="32"/>
          <w:u w:val="none" w:color="auto"/>
          <w:lang w:val="en-US" w:eastAsia="zh-CN"/>
        </w:rPr>
        <w:t>20</w:t>
      </w:r>
      <w:r>
        <w:rPr>
          <w:rFonts w:hint="default" w:ascii="Times New Roman" w:hAnsi="Times New Roman" w:eastAsia="方正仿宋_GBK" w:cs="Times New Roman"/>
          <w:b w:val="0"/>
          <w:bCs w:val="0"/>
          <w:spacing w:val="0"/>
          <w:w w:val="100"/>
          <w:sz w:val="32"/>
          <w:szCs w:val="32"/>
          <w:u w:val="none" w:color="auto"/>
        </w:rPr>
        <w:t>日</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FangSong_GB2312">
    <w:altName w:val="仿宋"/>
    <w:panose1 w:val="02010609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0D30220"/>
    <w:multiLevelType w:val="singleLevel"/>
    <w:tmpl w:val="60D30220"/>
    <w:lvl w:ilvl="0" w:tentative="0">
      <w:start w:val="1"/>
      <w:numFmt w:val="decimal"/>
      <w:pStyle w:val="5"/>
      <w:lvlText w:val="%1."/>
      <w:lvlJc w:val="left"/>
      <w:pPr>
        <w:tabs>
          <w:tab w:val="left" w:pos="2040"/>
        </w:tabs>
        <w:ind w:left="2040" w:hanging="360"/>
      </w:pPr>
    </w:lvl>
  </w:abstractNum>
  <w:abstractNum w:abstractNumId="1">
    <w:nsid w:val="74D64881"/>
    <w:multiLevelType w:val="singleLevel"/>
    <w:tmpl w:val="74D64881"/>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B517EC"/>
    <w:rsid w:val="41755A8A"/>
    <w:rsid w:val="51B517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Body Text Indent"/>
    <w:basedOn w:val="1"/>
    <w:next w:val="3"/>
    <w:qFormat/>
    <w:uiPriority w:val="0"/>
    <w:pPr>
      <w:spacing w:after="120"/>
      <w:ind w:left="420" w:leftChars="200"/>
    </w:pPr>
  </w:style>
  <w:style w:type="paragraph" w:styleId="3">
    <w:name w:val="Body Text First Indent 2"/>
    <w:basedOn w:val="2"/>
    <w:next w:val="4"/>
    <w:unhideWhenUsed/>
    <w:qFormat/>
    <w:uiPriority w:val="99"/>
    <w:pPr>
      <w:spacing w:before="100" w:beforeAutospacing="1" w:line="400" w:lineRule="exact"/>
      <w:ind w:firstLine="420" w:firstLineChars="200"/>
    </w:pPr>
    <w:rPr>
      <w:rFonts w:ascii="Calibri" w:hAnsi="Calibri"/>
    </w:rPr>
  </w:style>
  <w:style w:type="paragraph" w:styleId="4">
    <w:name w:val="Plain Text"/>
    <w:basedOn w:val="1"/>
    <w:next w:val="5"/>
    <w:qFormat/>
    <w:uiPriority w:val="0"/>
    <w:rPr>
      <w:rFonts w:ascii="宋体" w:hAnsi="Courier New"/>
    </w:rPr>
  </w:style>
  <w:style w:type="paragraph" w:styleId="5">
    <w:name w:val="List Number 5"/>
    <w:basedOn w:val="1"/>
    <w:next w:val="1"/>
    <w:uiPriority w:val="0"/>
    <w:pPr>
      <w:numPr>
        <w:ilvl w:val="0"/>
        <w:numId w:val="1"/>
      </w:numPr>
    </w:pPr>
  </w:style>
  <w:style w:type="paragraph" w:styleId="6">
    <w:name w:val="Body Text"/>
    <w:basedOn w:val="1"/>
    <w:semiHidden/>
    <w:qFormat/>
    <w:uiPriority w:val="0"/>
    <w:rPr>
      <w:rFonts w:ascii="FangSong_GB2312" w:hAnsi="FangSong_GB2312" w:eastAsia="FangSong_GB2312" w:cs="FangSong_GB2312"/>
      <w:sz w:val="31"/>
      <w:szCs w:val="31"/>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1291</Words>
  <Characters>1638</Characters>
  <Lines>0</Lines>
  <Paragraphs>0</Paragraphs>
  <TotalTime>0</TotalTime>
  <ScaleCrop>false</ScaleCrop>
  <LinksUpToDate>false</LinksUpToDate>
  <CharactersWithSpaces>1658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2026-08-20T09:06:00Z</dcterms:created>
  <dc:creator>Administrator</dc:creator>
  <cp:lastModifiedBy>HW</cp:lastModifiedBy>
  <dcterms:modified xsi:type="dcterms:W3CDTF">2026-08-20T10:23:56Z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eyJoZGlkIjoiOWUxOTlmOWJiMGZlMjRjZDU2MjZmYmQyZGRiNmY0ZDUifQ==</vt:lpwstr>
  </property>
  <property fmtid="{D5CDD505-2E9C-101B-9397-08002B2CF9AE}" pid="4" name="ICV">
    <vt:lpwstr>7ECFD55020234277896EC8C1E690AF58_12</vt:lpwstr>
  </property>
</Properties>
</file>