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shd w:val="clear" w:color="auto" w:fill="FFFFFF"/>
          <w:lang w:eastAsia="zh-CN"/>
        </w:rPr>
        <w:t>巴楚县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shd w:val="clear" w:color="auto" w:fill="FFFFFF"/>
          <w:lang w:val="en-US" w:eastAsia="zh-CN"/>
        </w:rPr>
        <w:t>2026年一季度经济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shd w:val="clear" w:color="auto" w:fill="FFFFFF"/>
          <w:lang w:eastAsia="zh-CN"/>
        </w:rPr>
        <w:t>运行统计信息</w:t>
      </w:r>
    </w:p>
    <w:p>
      <w:pP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季度，巴楚县以习近平新时代中国特色社会主义思想为指导，完整准确全面贯彻新时代党的治疆方略，锚定高质量发展首要任务，开年即冲刺、起步即起势，经济运行在“十四五”圆满收关的基础上，实现“十五五”良好开局。面对压力挑战，县域经济展现出韧劲与活力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保持了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稳定增长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、趋势向好的发展态势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  <w:t>一、经济运行稳中有进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一季度，地区生产总值（GDP）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22.77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8.8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%。</w:t>
      </w:r>
    </w:p>
    <w:p>
      <w:pP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分产业看，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第一产业增加值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1.76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4.9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%。第二产业增加值6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.51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.2%。第三产业增加值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14.51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4.8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%。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三次产业结构比为：7.7:28.6:63.7。</w:t>
      </w:r>
    </w:p>
    <w:p>
      <w:pPr>
        <w:jc w:val="center"/>
        <w:rPr>
          <w:rFonts w:hint="default"/>
          <w:spacing w:val="0"/>
          <w:lang w:val="en-US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pacing w:val="0"/>
          <w:sz w:val="32"/>
          <w:szCs w:val="40"/>
          <w:highlight w:val="none"/>
          <w:lang w:val="en-US" w:eastAsia="zh-CN"/>
        </w:rPr>
        <w:t>图一 2026年一季度三次产业增加值增速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/>
          <w:spacing w:val="0"/>
          <w:lang w:val="en-US"/>
        </w:rPr>
        <w:drawing>
          <wp:inline distT="0" distB="0" distL="114935" distR="114935">
            <wp:extent cx="5070475" cy="3019425"/>
            <wp:effectExtent l="0" t="0" r="15875" b="9525"/>
            <wp:docPr id="1" name="图片 1" descr="G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D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  <w:t>二、农林牧渔业经济总体平稳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一季度，农林牧渔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总产值3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元，同比增长4.8%。其中，农业产值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0.98亿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元，同比增长7.4%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林业产值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0.12亿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元，同比增长2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.42倍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；畜牧业产值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2.11亿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元，同比增长1.7%；渔业产值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0.01亿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元，同比增长7.9%；农林牧渔专业及辅助性活动产值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0.35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元，同比增长4.5%。</w:t>
      </w:r>
    </w:p>
    <w:p>
      <w:pPr>
        <w:overflowPunct w:val="0"/>
        <w:spacing w:line="560" w:lineRule="exact"/>
        <w:jc w:val="center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图二 2026年一季度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农林牧渔业总产值情况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drawing>
          <wp:inline distT="0" distB="0" distL="114935" distR="114935">
            <wp:extent cx="5686425" cy="3742690"/>
            <wp:effectExtent l="0" t="0" r="9525" b="10160"/>
            <wp:docPr id="3" name="图片 3" descr="农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农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三、工业经济快速增长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highlight w:val="none"/>
          <w:lang w:val="en-US" w:eastAsia="zh-CN"/>
        </w:rPr>
        <w:t>一季度，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highlight w:val="none"/>
          <w:lang w:val="en-US" w:eastAsia="zh-CN"/>
        </w:rPr>
        <w:t>规上工业增加值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highlight w:val="none"/>
          <w:lang w:val="en-US" w:eastAsia="zh-CN"/>
        </w:rPr>
        <w:t>3.17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highlight w:val="none"/>
          <w:lang w:val="en-US" w:eastAsia="zh-CN"/>
        </w:rPr>
        <w:t>35.6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color w:val="auto"/>
          <w:spacing w:val="-17"/>
          <w:sz w:val="32"/>
          <w:szCs w:val="40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40"/>
          <w:highlight w:val="none"/>
          <w:lang w:val="en-US" w:eastAsia="zh-CN"/>
        </w:rPr>
        <w:t>三大门类“两增一降”。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采矿业增长150.4%，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zh-CN" w:eastAsia="zh-CN"/>
        </w:rPr>
        <w:t>制造业增长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31.5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zh-CN" w:eastAsia="zh-CN"/>
        </w:rPr>
        <w:t>%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zh-CN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zh-CN" w:eastAsia="zh-CN"/>
        </w:rPr>
        <w:t>电力、热力及水生产和供应业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下降19.8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zh-CN" w:eastAsia="zh-CN"/>
        </w:rPr>
        <w:t>%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主导行业拉动有力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铁矿采选业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增长1.91倍，拉动规上工业增加值增长5.97个百分点；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其他黑色金属矿采选业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增长1.52倍，拉动规上工业增加值增长23.35个百分点；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纺织业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增长24.9%，拉动规上工业增加值增长9.69个百分点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表</w:t>
      </w: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三</w:t>
      </w: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 xml:space="preserve"> 202</w:t>
      </w: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一季度工业</w:t>
      </w: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三大门类增加值增长情况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drawing>
          <wp:inline distT="0" distB="0" distL="114300" distR="114300">
            <wp:extent cx="5241290" cy="3486785"/>
            <wp:effectExtent l="0" t="0" r="16510" b="18415"/>
            <wp:docPr id="4" name="图片 4" descr="工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工业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四、固定资产投资增速放缓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一季度，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固定资产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投资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（不含农户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9.67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增长3.1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分产业看，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投资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增长29.7%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；第二产业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投资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下降34.1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第三产业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投资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增长52.3%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重点投资领域支撑有力，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设备工器具购置投资同比增长76.8%，其他费用投资同比增长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2.24倍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固定资产投资分产业投资完成及增长情况表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1455"/>
        <w:gridCol w:w="1455"/>
        <w:gridCol w:w="145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5" w:type="pc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 类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一季度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投资额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（亿元）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一季度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增速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（%）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一季度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占投资总额比重（%）</w:t>
            </w:r>
          </w:p>
        </w:tc>
        <w:tc>
          <w:tcPr>
            <w:tcW w:w="793" w:type="pct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一季度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拉动率（%）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5" w:type="pc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固定资产投资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9.6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3.1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793" w:type="pct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5" w:type="pc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按产业分：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—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—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—</w:t>
            </w:r>
          </w:p>
        </w:tc>
        <w:tc>
          <w:tcPr>
            <w:tcW w:w="793" w:type="pct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5" w:type="pc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第一产业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1.14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29.7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11.8</w:t>
            </w:r>
          </w:p>
        </w:tc>
        <w:tc>
          <w:tcPr>
            <w:tcW w:w="793" w:type="pct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5" w:type="pc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第二产业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3.36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-34.1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34.8</w:t>
            </w:r>
          </w:p>
        </w:tc>
        <w:tc>
          <w:tcPr>
            <w:tcW w:w="793" w:type="pct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5" w:type="pc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720" w:firstLine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其中：工业投资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3.36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-34.1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34.8</w:t>
            </w:r>
          </w:p>
        </w:tc>
        <w:tc>
          <w:tcPr>
            <w:tcW w:w="144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5" w:type="pc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第三产业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52.3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53.4</w:t>
            </w:r>
          </w:p>
        </w:tc>
        <w:tc>
          <w:tcPr>
            <w:tcW w:w="793" w:type="pct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18.9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五、消费品市场承压运行</w:t>
      </w:r>
    </w:p>
    <w:p>
      <w:pPr>
        <w:ind w:firstLine="664" w:firstLineChars="200"/>
        <w:jc w:val="both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一季度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，限额以上社会消费品零售总额完成1.71亿元，同比增长7.5%。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highlight w:val="none"/>
        </w:rPr>
        <w:t>基本生活类消费稳健增长。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</w:rPr>
        <w:t>按商品零售类值分，限上13类商品中9类呈增长态势，增长面达69%。其中：与居民日常生活密切相关的化妆品类、饮料类、烟酒类、粮油食品类、日用品类、服装鞋帽针织品类商品零售额分别同比增长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  <w:lang w:val="en-US" w:eastAsia="zh-CN"/>
        </w:rPr>
        <w:t>5.07倍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</w:rPr>
        <w:t>、4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  <w:lang w:val="en-US" w:eastAsia="zh-CN"/>
        </w:rPr>
        <w:t>.26倍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</w:rPr>
        <w:t>、1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  <w:lang w:val="en-US" w:eastAsia="zh-CN"/>
        </w:rPr>
        <w:t>.84倍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</w:rPr>
        <w:t>、64.7%、32.3%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</w:rPr>
        <w:t>、25.1%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。</w:t>
      </w:r>
    </w:p>
    <w:p>
      <w:pPr>
        <w:jc w:val="center"/>
        <w:rPr>
          <w:rFonts w:ascii="Times New Roman" w:hAnsi="Times New Roman" w:eastAsia="方正黑体简体" w:cs="方正黑体简体"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color w:val="auto"/>
          <w:sz w:val="32"/>
          <w:szCs w:val="32"/>
        </w:rPr>
        <w:t>表</w:t>
      </w:r>
      <w:r>
        <w:rPr>
          <w:rFonts w:hint="eastAsia" w:ascii="Times New Roman" w:hAnsi="Times New Roman" w:eastAsia="方正黑体简体" w:cs="方正黑体简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黑体简体" w:cs="方正黑体简体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黑体简体" w:cs="方正黑体简体"/>
          <w:color w:val="auto"/>
          <w:sz w:val="32"/>
          <w:szCs w:val="32"/>
          <w:lang w:val="en-US" w:eastAsia="zh-CN"/>
        </w:rPr>
        <w:t>一季度</w:t>
      </w:r>
      <w:r>
        <w:rPr>
          <w:rFonts w:hint="eastAsia" w:ascii="Times New Roman" w:hAnsi="Times New Roman" w:eastAsia="方正黑体简体" w:cs="方正黑体简体"/>
          <w:color w:val="auto"/>
          <w:sz w:val="32"/>
          <w:szCs w:val="32"/>
        </w:rPr>
        <w:t>限额以上社会消费品零售总额分类完成情况表</w:t>
      </w: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1270"/>
        <w:gridCol w:w="1470"/>
        <w:gridCol w:w="150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指  标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月</w:t>
            </w:r>
          </w:p>
        </w:tc>
        <w:tc>
          <w:tcPr>
            <w:tcW w:w="30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szCs w:val="24"/>
              </w:rPr>
              <w:t>1-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月（逐月累加）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55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绝对量   （万元）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同比增长 （%）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绝对量     （万元）</w:t>
            </w:r>
          </w:p>
        </w:tc>
        <w:tc>
          <w:tcPr>
            <w:tcW w:w="1545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同比增长      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55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24"/>
                <w:szCs w:val="24"/>
              </w:rPr>
              <w:t>限额以上社会消费品零售额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  <w:t>8050.4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szCs w:val="24"/>
              </w:rPr>
              <w:t>-6.4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  <w:t>17128.7</w:t>
            </w:r>
          </w:p>
        </w:tc>
        <w:tc>
          <w:tcPr>
            <w:tcW w:w="1545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szCs w:val="24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40" w:type="dxa"/>
            <w:gridSpan w:val="5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szCs w:val="24"/>
              </w:rPr>
              <w:t>按消费类型分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55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  <w:t>化妆品类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19.3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522.6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55.2</w:t>
            </w:r>
          </w:p>
        </w:tc>
        <w:tc>
          <w:tcPr>
            <w:tcW w:w="1545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506.6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55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  <w:t>饮料类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29.2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668.4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107.2</w:t>
            </w:r>
          </w:p>
        </w:tc>
        <w:tc>
          <w:tcPr>
            <w:tcW w:w="1545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425.5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55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  <w:t>烟酒类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44.3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73.7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163.4</w:t>
            </w:r>
          </w:p>
        </w:tc>
        <w:tc>
          <w:tcPr>
            <w:tcW w:w="1545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184.2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55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  <w:t>石油及制品类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280.7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89.4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839.6</w:t>
            </w:r>
          </w:p>
        </w:tc>
        <w:tc>
          <w:tcPr>
            <w:tcW w:w="1545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118.0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55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  <w:t>粮油、食品类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4096.1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17.1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7684.2</w:t>
            </w:r>
          </w:p>
        </w:tc>
        <w:tc>
          <w:tcPr>
            <w:tcW w:w="1545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64.7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55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  <w:t>日用品类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251.2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69.5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437.8</w:t>
            </w:r>
          </w:p>
        </w:tc>
        <w:tc>
          <w:tcPr>
            <w:tcW w:w="1545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32.3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55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100"/>
              <w:jc w:val="center"/>
              <w:rPr>
                <w:rFonts w:ascii="Times New Roman" w:hAnsi="Times New Roman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 w:cs="方正仿宋简体"/>
                <w:color w:val="auto"/>
                <w:spacing w:val="-20"/>
                <w:sz w:val="24"/>
                <w:szCs w:val="24"/>
              </w:rPr>
              <w:t>服装、鞋帽、针纺织品类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205.2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23.6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349.6</w:t>
            </w:r>
          </w:p>
        </w:tc>
        <w:tc>
          <w:tcPr>
            <w:tcW w:w="1545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bidi="ar"/>
              </w:rPr>
              <w:t>25.1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方正仿宋简体"/>
          <w:color w:val="auto"/>
          <w:sz w:val="32"/>
          <w:szCs w:val="32"/>
          <w:highlight w:val="yellow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jc w:val="center"/>
        <w:rPr>
          <w:rFonts w:hint="default"/>
          <w:lang w:val="en-US"/>
        </w:rPr>
      </w:pPr>
    </w:p>
    <w:sectPr>
      <w:pgSz w:w="11906" w:h="16838"/>
      <w:pgMar w:top="1587" w:right="1474" w:bottom="1474" w:left="1474" w:header="851" w:footer="992" w:gutter="0"/>
      <w:cols w:space="0" w:num="1"/>
      <w:rtlGutter w:val="0"/>
      <w:docGrid w:type="lines" w:linePitch="5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6D49"/>
    <w:rsid w:val="09760901"/>
    <w:rsid w:val="0E7A52AC"/>
    <w:rsid w:val="12EE11BE"/>
    <w:rsid w:val="197C4FB4"/>
    <w:rsid w:val="1DD26D49"/>
    <w:rsid w:val="1F9A21C0"/>
    <w:rsid w:val="278645B3"/>
    <w:rsid w:val="507E3590"/>
    <w:rsid w:val="5D750876"/>
    <w:rsid w:val="7334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Normal (Web)"/>
    <w:basedOn w:val="1"/>
    <w:next w:val="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10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1137</Words>
  <Characters>1501</Characters>
  <Lines>0</Lines>
  <Paragraphs>0</Paragraphs>
  <TotalTime>13</TotalTime>
  <ScaleCrop>false</ScaleCrop>
  <LinksUpToDate>false</LinksUpToDate>
  <CharactersWithSpaces>1547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2026-05-18T03:50:00Z</dcterms:created>
  <dc:creator>LENOVO</dc:creator>
  <cp:lastModifiedBy>Administrator</cp:lastModifiedBy>
  <dcterms:modified xsi:type="dcterms:W3CDTF">2026-05-19T04:33:46Z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