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37</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巴楚县2025年项目管理费安排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巴楚县农业农村局</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w:t>
      </w:r>
      <w:r>
        <w:rPr>
          <w:rFonts w:hint="eastAsia" w:ascii="Times New Roman" w:hAnsi="Times New Roman" w:eastAsia="方正仿宋简体" w:cs="Times New Roman"/>
          <w:color w:val="auto"/>
          <w:sz w:val="32"/>
          <w:szCs w:val="32"/>
          <w:u w:val="none"/>
          <w:lang w:val="en-US" w:eastAsia="zh-CN"/>
        </w:rPr>
        <w:t>项目管理费</w:t>
      </w:r>
      <w:r>
        <w:rPr>
          <w:rFonts w:hint="default" w:ascii="Times New Roman" w:hAnsi="Times New Roman" w:eastAsia="方正仿宋简体" w:cs="Times New Roman"/>
          <w:color w:val="auto"/>
          <w:sz w:val="32"/>
          <w:szCs w:val="32"/>
          <w:u w:val="none"/>
          <w:lang w:val="en-US" w:eastAsia="zh-CN"/>
        </w:rPr>
        <w:t>安</w:t>
      </w:r>
      <w:r>
        <w:rPr>
          <w:rFonts w:hint="default" w:ascii="Times New Roman" w:hAnsi="Times New Roman" w:eastAsia="方正仿宋简体" w:cs="Times New Roman"/>
          <w:b w:val="0"/>
          <w:bCs w:val="0"/>
          <w:color w:val="auto"/>
          <w:sz w:val="32"/>
          <w:szCs w:val="32"/>
          <w:lang w:val="en-US" w:eastAsia="zh-CN"/>
        </w:rPr>
        <w:t>排你单位执行，该项目计划总投资</w:t>
      </w:r>
      <w:r>
        <w:rPr>
          <w:rFonts w:hint="eastAsia" w:ascii="Times New Roman" w:hAnsi="Times New Roman" w:eastAsia="方正仿宋简体" w:cs="Times New Roman"/>
          <w:b w:val="0"/>
          <w:bCs w:val="0"/>
          <w:color w:val="auto"/>
          <w:sz w:val="32"/>
          <w:szCs w:val="32"/>
          <w:lang w:val="en-US" w:eastAsia="zh-CN"/>
        </w:rPr>
        <w:t>210</w:t>
      </w:r>
      <w:r>
        <w:rPr>
          <w:rFonts w:hint="default" w:ascii="Times New Roman" w:hAnsi="Times New Roman" w:eastAsia="方正仿宋简体" w:cs="Times New Roman"/>
          <w:b w:val="0"/>
          <w:bCs w:val="0"/>
          <w:color w:val="auto"/>
          <w:sz w:val="32"/>
          <w:szCs w:val="32"/>
          <w:lang w:val="en-US" w:eastAsia="zh-CN"/>
        </w:rPr>
        <w:t>万元</w:t>
      </w:r>
      <w:r>
        <w:rPr>
          <w:rFonts w:hint="eastAsia" w:ascii="Times New Roman" w:hAnsi="Times New Roman" w:eastAsia="方正仿宋简体" w:cs="Times New Roman"/>
          <w:b w:val="0"/>
          <w:bCs w:val="0"/>
          <w:color w:val="auto"/>
          <w:sz w:val="32"/>
          <w:szCs w:val="32"/>
          <w:lang w:val="en-US" w:eastAsia="zh-CN"/>
        </w:rPr>
        <w:t>由你单位负责实施100万元，</w:t>
      </w:r>
      <w:r>
        <w:rPr>
          <w:rFonts w:hint="default" w:ascii="Times New Roman" w:hAnsi="Times New Roman" w:eastAsia="方正仿宋简体" w:cs="Times New Roman"/>
          <w:b w:val="0"/>
          <w:bCs w:val="0"/>
          <w:color w:val="auto"/>
          <w:sz w:val="32"/>
          <w:szCs w:val="32"/>
          <w:lang w:val="en-US" w:eastAsia="zh-CN"/>
        </w:rPr>
        <w:t>此次安排县级配套资金</w:t>
      </w:r>
      <w:r>
        <w:rPr>
          <w:rFonts w:hint="eastAsia" w:ascii="Times New Roman" w:hAnsi="Times New Roman" w:eastAsia="方正仿宋简体" w:cs="Times New Roman"/>
          <w:b w:val="0"/>
          <w:bCs w:val="0"/>
          <w:color w:val="auto"/>
          <w:sz w:val="32"/>
          <w:szCs w:val="32"/>
          <w:lang w:val="en-US" w:eastAsia="zh-CN"/>
        </w:rPr>
        <w:t>100</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bookmarkStart w:id="0" w:name="_GoBack"/>
      <w:bookmarkEnd w:id="0"/>
      <w:r>
        <w:rPr>
          <w:rFonts w:hint="default" w:ascii="Times New Roman" w:hAnsi="Times New Roman" w:eastAsia="方正仿宋简体" w:cs="Times New Roman"/>
          <w:color w:val="auto"/>
          <w:sz w:val="32"/>
          <w:szCs w:val="32"/>
          <w:u w:val="none"/>
          <w:lang w:val="en-US" w:eastAsia="zh-CN"/>
        </w:rPr>
        <w:t>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01052CA"/>
    <w:rsid w:val="01237634"/>
    <w:rsid w:val="02B72327"/>
    <w:rsid w:val="02C00595"/>
    <w:rsid w:val="02E56CB5"/>
    <w:rsid w:val="03D221AF"/>
    <w:rsid w:val="03E34B2F"/>
    <w:rsid w:val="05DB4E54"/>
    <w:rsid w:val="065E27D9"/>
    <w:rsid w:val="068A703D"/>
    <w:rsid w:val="0B3367EF"/>
    <w:rsid w:val="0CF20E59"/>
    <w:rsid w:val="0D402F6A"/>
    <w:rsid w:val="0DDF0892"/>
    <w:rsid w:val="0DF42F1A"/>
    <w:rsid w:val="0FFC323A"/>
    <w:rsid w:val="10E4035E"/>
    <w:rsid w:val="117C69DB"/>
    <w:rsid w:val="11DA02B7"/>
    <w:rsid w:val="12452079"/>
    <w:rsid w:val="124C4FE9"/>
    <w:rsid w:val="12AF21A0"/>
    <w:rsid w:val="148B70CA"/>
    <w:rsid w:val="15095314"/>
    <w:rsid w:val="173B5626"/>
    <w:rsid w:val="195D0F4E"/>
    <w:rsid w:val="1A751ADA"/>
    <w:rsid w:val="1AF835E4"/>
    <w:rsid w:val="1B460327"/>
    <w:rsid w:val="1C7C3A90"/>
    <w:rsid w:val="1F3B1330"/>
    <w:rsid w:val="20564116"/>
    <w:rsid w:val="228D4595"/>
    <w:rsid w:val="258D64B0"/>
    <w:rsid w:val="269101DA"/>
    <w:rsid w:val="275153EF"/>
    <w:rsid w:val="27966958"/>
    <w:rsid w:val="296475A5"/>
    <w:rsid w:val="2AD63213"/>
    <w:rsid w:val="2C4506A4"/>
    <w:rsid w:val="2E410F05"/>
    <w:rsid w:val="30022752"/>
    <w:rsid w:val="31466161"/>
    <w:rsid w:val="31527B11"/>
    <w:rsid w:val="31FC4900"/>
    <w:rsid w:val="32A760FE"/>
    <w:rsid w:val="33355BBA"/>
    <w:rsid w:val="3389235C"/>
    <w:rsid w:val="33D83450"/>
    <w:rsid w:val="358E21C5"/>
    <w:rsid w:val="399D3772"/>
    <w:rsid w:val="3AB464C1"/>
    <w:rsid w:val="3DB73441"/>
    <w:rsid w:val="3E134C9D"/>
    <w:rsid w:val="3ED57E87"/>
    <w:rsid w:val="3F7B503A"/>
    <w:rsid w:val="40D4720E"/>
    <w:rsid w:val="40F0694C"/>
    <w:rsid w:val="41021167"/>
    <w:rsid w:val="4271500E"/>
    <w:rsid w:val="42BF4F2F"/>
    <w:rsid w:val="42EC48BA"/>
    <w:rsid w:val="45A34149"/>
    <w:rsid w:val="4937460C"/>
    <w:rsid w:val="4A8E2CA8"/>
    <w:rsid w:val="4B042802"/>
    <w:rsid w:val="4B9867F0"/>
    <w:rsid w:val="4C316876"/>
    <w:rsid w:val="4CE16E63"/>
    <w:rsid w:val="4D292E73"/>
    <w:rsid w:val="4EDD28DC"/>
    <w:rsid w:val="4FD51DF8"/>
    <w:rsid w:val="527F7C76"/>
    <w:rsid w:val="553F7A84"/>
    <w:rsid w:val="55C268B8"/>
    <w:rsid w:val="5693575E"/>
    <w:rsid w:val="577F2077"/>
    <w:rsid w:val="57CC3E2A"/>
    <w:rsid w:val="57EA2F48"/>
    <w:rsid w:val="58171D2F"/>
    <w:rsid w:val="594A5C18"/>
    <w:rsid w:val="59772ACC"/>
    <w:rsid w:val="59FC71D3"/>
    <w:rsid w:val="5A2D341C"/>
    <w:rsid w:val="5AE86493"/>
    <w:rsid w:val="5C6435F5"/>
    <w:rsid w:val="5C9F55DD"/>
    <w:rsid w:val="5D24333F"/>
    <w:rsid w:val="5D2A1AC4"/>
    <w:rsid w:val="5F23711E"/>
    <w:rsid w:val="605915CF"/>
    <w:rsid w:val="60B07569"/>
    <w:rsid w:val="60FC2BBA"/>
    <w:rsid w:val="61A37C37"/>
    <w:rsid w:val="636A6109"/>
    <w:rsid w:val="63F02E94"/>
    <w:rsid w:val="65A32467"/>
    <w:rsid w:val="661C2854"/>
    <w:rsid w:val="662B7B77"/>
    <w:rsid w:val="665442F2"/>
    <w:rsid w:val="681341CA"/>
    <w:rsid w:val="683D0C12"/>
    <w:rsid w:val="683E05C5"/>
    <w:rsid w:val="6B972E58"/>
    <w:rsid w:val="6D782E7F"/>
    <w:rsid w:val="6E757226"/>
    <w:rsid w:val="6EAF57F7"/>
    <w:rsid w:val="6F624A11"/>
    <w:rsid w:val="708038C7"/>
    <w:rsid w:val="74CF5E9C"/>
    <w:rsid w:val="766A3E25"/>
    <w:rsid w:val="77DE4817"/>
    <w:rsid w:val="7947738D"/>
    <w:rsid w:val="7BB07881"/>
    <w:rsid w:val="7C634DCD"/>
    <w:rsid w:val="7CA0315A"/>
    <w:rsid w:val="7D4805F1"/>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2024-08-01T02:11:00Z</cp:lastPrinted>
  <dcterms:modified xsi:type="dcterms:W3CDTF">2025-06-23T11:01:56Z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