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eastAsia="黑体"/>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eastAsia="黑体"/>
          <w:b/>
          <w:color w:val="auto"/>
          <w:sz w:val="30"/>
          <w:szCs w:val="30"/>
        </w:rPr>
      </w:pP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eastAsia" w:eastAsia="黑体"/>
          <w:b/>
          <w:color w:val="auto"/>
          <w:sz w:val="44"/>
          <w:szCs w:val="22"/>
          <w:lang w:val="en-US" w:eastAsia="zh-CN"/>
        </w:rPr>
      </w:pPr>
      <w:r>
        <w:rPr>
          <w:rFonts w:hint="eastAsia" w:eastAsia="黑体"/>
          <w:b/>
          <w:color w:val="auto"/>
          <w:sz w:val="44"/>
          <w:szCs w:val="22"/>
          <w:lang w:val="en-US" w:eastAsia="zh-CN"/>
        </w:rPr>
        <w:t>喀什地区巴楚县自然资源局</w:t>
      </w:r>
    </w:p>
    <w:p>
      <w:pPr>
        <w:pageBreakBefore w:val="0"/>
        <w:pBdr>
          <w:bottom w:val="dotDotDash" w:color="auto" w:sz="24" w:space="10"/>
        </w:pBdr>
        <w:kinsoku/>
        <w:wordWrap/>
        <w:overflowPunct/>
        <w:topLinePunct w:val="0"/>
        <w:autoSpaceDE/>
        <w:autoSpaceDN/>
        <w:bidi w:val="0"/>
        <w:adjustRightInd/>
        <w:snapToGrid w:val="0"/>
        <w:spacing w:before="156" w:beforeLines="50" w:after="312" w:afterLines="100" w:line="360" w:lineRule="auto"/>
        <w:ind w:firstLine="0" w:firstLineChars="0"/>
        <w:jc w:val="center"/>
        <w:textAlignment w:val="center"/>
        <w:rPr>
          <w:rFonts w:hint="default" w:eastAsia="黑体"/>
          <w:b/>
          <w:color w:val="auto"/>
          <w:sz w:val="44"/>
          <w:szCs w:val="22"/>
          <w:lang w:val="en-US" w:eastAsia="zh-CN"/>
        </w:rPr>
      </w:pPr>
      <w:r>
        <w:rPr>
          <w:rFonts w:hint="eastAsia" w:eastAsia="黑体"/>
          <w:b/>
          <w:color w:val="auto"/>
          <w:sz w:val="44"/>
          <w:szCs w:val="22"/>
          <w:lang w:val="en-US" w:eastAsia="zh-CN"/>
        </w:rPr>
        <w:t>2024年中央林业草原生态保护恢复资金（森林保护修复）项目</w:t>
      </w:r>
    </w:p>
    <w:p>
      <w:pPr>
        <w:pageBreakBefore w:val="0"/>
        <w:kinsoku/>
        <w:wordWrap/>
        <w:overflowPunct/>
        <w:topLinePunct w:val="0"/>
        <w:autoSpaceDE/>
        <w:autoSpaceDN/>
        <w:bidi w:val="0"/>
        <w:adjustRightInd/>
        <w:snapToGrid w:val="0"/>
        <w:spacing w:before="0" w:after="0" w:line="360" w:lineRule="auto"/>
        <w:ind w:firstLine="0" w:firstLineChars="0"/>
        <w:jc w:val="center"/>
        <w:rPr>
          <w:rFonts w:eastAsia="黑体"/>
          <w:color w:val="auto"/>
          <w:sz w:val="44"/>
          <w:szCs w:val="44"/>
        </w:rPr>
      </w:pPr>
      <w:r>
        <w:rPr>
          <w:rFonts w:eastAsia="黑体"/>
          <w:color w:val="auto"/>
          <w:spacing w:val="23"/>
          <w:kern w:val="0"/>
          <w:sz w:val="44"/>
          <w:szCs w:val="44"/>
          <w:fitText w:val="2872" w:id="1924366299"/>
        </w:rPr>
        <w:t>绩效评价报</w:t>
      </w:r>
      <w:r>
        <w:rPr>
          <w:rFonts w:eastAsia="黑体"/>
          <w:color w:val="auto"/>
          <w:spacing w:val="1"/>
          <w:kern w:val="0"/>
          <w:sz w:val="44"/>
          <w:szCs w:val="44"/>
          <w:fitText w:val="2872" w:id="1924366299"/>
        </w:rPr>
        <w:t>告</w:t>
      </w:r>
    </w:p>
    <w:p>
      <w:pPr>
        <w:pageBreakBefore w:val="0"/>
        <w:kinsoku/>
        <w:wordWrap/>
        <w:overflowPunct/>
        <w:topLinePunct w:val="0"/>
        <w:autoSpaceDE/>
        <w:autoSpaceDN/>
        <w:bidi w:val="0"/>
        <w:adjustRightInd/>
        <w:snapToGrid w:val="0"/>
        <w:spacing w:before="0" w:after="0" w:line="360" w:lineRule="auto"/>
        <w:ind w:firstLine="0" w:firstLineChars="0"/>
        <w:jc w:val="center"/>
        <w:rPr>
          <w:color w:val="auto"/>
        </w:rPr>
      </w:pPr>
      <w:r>
        <w:rPr>
          <w:rFonts w:eastAsia="黑体"/>
          <w:color w:val="auto"/>
        </w:rPr>
        <w:t>驰天会咨字</w:t>
      </w:r>
      <w:r>
        <w:rPr>
          <w:rFonts w:hint="eastAsia" w:ascii="宋体" w:hAnsi="宋体" w:eastAsia="宋体" w:cs="宋体"/>
          <w:color w:val="auto"/>
        </w:rPr>
        <w:t>﹝</w:t>
      </w:r>
      <w:r>
        <w:rPr>
          <w:rFonts w:eastAsia="黑体"/>
          <w:color w:val="auto"/>
        </w:rPr>
        <w:t>20</w:t>
      </w:r>
      <w:r>
        <w:rPr>
          <w:rFonts w:hint="eastAsia" w:eastAsia="黑体"/>
          <w:color w:val="auto"/>
          <w:lang w:val="en-US" w:eastAsia="zh-CN"/>
        </w:rPr>
        <w:t>25</w:t>
      </w:r>
      <w:r>
        <w:rPr>
          <w:rFonts w:hint="eastAsia" w:ascii="宋体" w:hAnsi="宋体" w:eastAsia="宋体" w:cs="宋体"/>
          <w:color w:val="auto"/>
          <w:lang w:val="en-US" w:eastAsia="zh-CN"/>
        </w:rPr>
        <w:t>﹞</w:t>
      </w:r>
      <w:r>
        <w:rPr>
          <w:rFonts w:eastAsia="黑体"/>
          <w:color w:val="auto"/>
        </w:rPr>
        <w:t>1-</w:t>
      </w:r>
      <w:r>
        <w:rPr>
          <w:rFonts w:hint="eastAsia" w:eastAsia="黑体"/>
          <w:color w:val="auto"/>
          <w:lang w:val="en-US" w:eastAsia="zh-CN"/>
        </w:rPr>
        <w:t>0128</w:t>
      </w:r>
      <w:r>
        <w:rPr>
          <w:rFonts w:eastAsia="黑体"/>
          <w:color w:val="auto"/>
        </w:rPr>
        <w:t>号</w:t>
      </w:r>
    </w:p>
    <w:p>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both"/>
        <w:rPr>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pPr>
        <w:pageBreakBefore w:val="0"/>
        <w:kinsoku/>
        <w:wordWrap/>
        <w:overflowPunct/>
        <w:topLinePunct w:val="0"/>
        <w:autoSpaceDE/>
        <w:autoSpaceDN/>
        <w:bidi w:val="0"/>
        <w:adjustRightInd/>
        <w:snapToGrid w:val="0"/>
        <w:spacing w:before="0" w:after="0" w:line="360" w:lineRule="auto"/>
        <w:ind w:firstLine="0" w:firstLineChars="0"/>
        <w:rPr>
          <w:b/>
          <w:color w:val="auto"/>
          <w:sz w:val="32"/>
          <w:szCs w:val="22"/>
        </w:rPr>
      </w:pPr>
    </w:p>
    <w:p>
      <w:pPr>
        <w:pStyle w:val="8"/>
        <w:pageBreakBefore w:val="0"/>
        <w:kinsoku/>
        <w:wordWrap/>
        <w:overflowPunct/>
        <w:topLinePunct w:val="0"/>
        <w:autoSpaceDE/>
        <w:autoSpaceDN/>
        <w:bidi w:val="0"/>
        <w:snapToGrid w:val="0"/>
        <w:spacing w:before="0" w:after="0" w:line="360" w:lineRule="auto"/>
        <w:ind w:firstLine="643"/>
        <w:rPr>
          <w:b/>
          <w:color w:val="auto"/>
          <w:sz w:val="32"/>
          <w:szCs w:val="22"/>
        </w:rPr>
      </w:pPr>
    </w:p>
    <w:p>
      <w:pPr>
        <w:pStyle w:val="9"/>
        <w:pageBreakBefore w:val="0"/>
        <w:kinsoku/>
        <w:wordWrap/>
        <w:overflowPunct/>
        <w:topLinePunct w:val="0"/>
        <w:autoSpaceDE/>
        <w:autoSpaceDN/>
        <w:bidi w:val="0"/>
        <w:snapToGrid w:val="0"/>
        <w:spacing w:before="0" w:after="0" w:line="360" w:lineRule="auto"/>
        <w:ind w:firstLine="420"/>
        <w:rPr>
          <w:color w:val="auto"/>
        </w:rPr>
      </w:pPr>
    </w:p>
    <w:p>
      <w:pPr>
        <w:pStyle w:val="9"/>
        <w:pageBreakBefore w:val="0"/>
        <w:kinsoku/>
        <w:wordWrap/>
        <w:overflowPunct/>
        <w:topLinePunct w:val="0"/>
        <w:autoSpaceDE/>
        <w:autoSpaceDN/>
        <w:bidi w:val="0"/>
        <w:snapToGrid w:val="0"/>
        <w:spacing w:before="0" w:after="0" w:line="360" w:lineRule="auto"/>
        <w:ind w:firstLine="420"/>
        <w:rPr>
          <w:color w:val="auto"/>
        </w:rPr>
      </w:pPr>
    </w:p>
    <w:p>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r>
        <w:rPr>
          <w:b/>
          <w:color w:val="auto"/>
          <w:sz w:val="32"/>
          <w:szCs w:val="22"/>
        </w:rPr>
        <w:t>新疆驰远天合有限责任会计师事务所</w:t>
      </w:r>
    </w:p>
    <w:p>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sz w:val="28"/>
          <w:szCs w:val="28"/>
        </w:rPr>
      </w:pPr>
      <w:r>
        <w:rPr>
          <w:rFonts w:eastAsia="等线"/>
          <w:b/>
          <w:color w:val="auto"/>
          <w:sz w:val="28"/>
          <w:szCs w:val="28"/>
        </w:rPr>
        <w:t>XIN JIANG CHI YUAN TIAN HE</w:t>
      </w:r>
    </w:p>
    <w:p>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rPr>
      </w:pPr>
      <w:r>
        <w:rPr>
          <w:rFonts w:eastAsia="等线"/>
          <w:b/>
          <w:color w:val="auto"/>
        </w:rPr>
        <w:t>Certified Public Accountants Co.,Ltd.</w:t>
      </w:r>
    </w:p>
    <w:p>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pPr>
        <w:pageBreakBefore w:val="0"/>
        <w:kinsoku/>
        <w:wordWrap/>
        <w:overflowPunct/>
        <w:topLinePunct w:val="0"/>
        <w:autoSpaceDE/>
        <w:autoSpaceDN/>
        <w:bidi w:val="0"/>
        <w:snapToGrid w:val="0"/>
        <w:spacing w:before="0" w:after="0" w:line="360" w:lineRule="auto"/>
        <w:ind w:firstLine="0" w:firstLineChars="0"/>
        <w:rPr>
          <w:rFonts w:hint="default" w:eastAsia="黑体"/>
          <w:bCs/>
          <w:color w:val="auto"/>
          <w:sz w:val="24"/>
          <w:szCs w:val="24"/>
          <w:lang w:val="en-US" w:eastAsia="zh-CN"/>
        </w:rPr>
      </w:pPr>
      <w:r>
        <w:rPr>
          <w:rFonts w:eastAsia="黑体"/>
          <w:bCs/>
          <w:color w:val="auto"/>
          <w:sz w:val="24"/>
          <w:szCs w:val="24"/>
        </w:rPr>
        <w:t>项目名称：</w:t>
      </w:r>
      <w:r>
        <w:rPr>
          <w:rFonts w:hint="eastAsia" w:eastAsia="黑体"/>
          <w:bCs/>
          <w:color w:val="auto"/>
          <w:sz w:val="24"/>
          <w:szCs w:val="24"/>
          <w:lang w:val="en-US" w:eastAsia="zh-CN"/>
        </w:rPr>
        <w:t>2024年中央林业草原生态保护恢复资金（森林保护修复）项目</w:t>
      </w: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委托单位：</w:t>
      </w:r>
      <w:r>
        <w:rPr>
          <w:rFonts w:hint="eastAsia" w:eastAsia="黑体"/>
          <w:bCs/>
          <w:color w:val="auto"/>
          <w:sz w:val="24"/>
          <w:szCs w:val="24"/>
          <w:lang w:val="en-US" w:eastAsia="zh-CN"/>
        </w:rPr>
        <w:t>巴喀什地区巴楚县财政局</w:t>
      </w: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评价机构：新疆驰远天合有限责任会计师事务所</w:t>
      </w: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机构负责人：孙卫红</w:t>
      </w: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联系方式：0991-2835917、0991-2831583</w:t>
      </w: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通讯地址：新疆乌鲁木齐市天山区新华南路9号汇源大厦13楼</w:t>
      </w: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邮政编码：830004</w:t>
      </w: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项目评价小组成员：</w:t>
      </w:r>
    </w:p>
    <w:p>
      <w:pPr>
        <w:pageBreakBefore w:val="0"/>
        <w:widowControl/>
        <w:kinsoku/>
        <w:wordWrap/>
        <w:overflowPunct/>
        <w:topLinePunct w:val="0"/>
        <w:autoSpaceDE/>
        <w:autoSpaceDN/>
        <w:bidi w:val="0"/>
        <w:snapToGrid w:val="0"/>
        <w:spacing w:before="0" w:after="0" w:line="360" w:lineRule="auto"/>
        <w:ind w:firstLine="480"/>
        <w:rPr>
          <w:rFonts w:hint="eastAsia" w:eastAsia="黑体"/>
          <w:bCs/>
          <w:color w:val="auto"/>
          <w:sz w:val="24"/>
          <w:szCs w:val="24"/>
        </w:rPr>
      </w:pPr>
      <w:r>
        <w:rPr>
          <w:rFonts w:hint="eastAsia" w:eastAsia="黑体"/>
          <w:bCs/>
          <w:color w:val="auto"/>
          <w:sz w:val="24"/>
          <w:szCs w:val="24"/>
        </w:rPr>
        <w:t>项目主评人：冯延萍 注册会计师 注册评估师</w:t>
      </w:r>
    </w:p>
    <w:p>
      <w:pPr>
        <w:pageBreakBefore w:val="0"/>
        <w:widowControl/>
        <w:kinsoku/>
        <w:wordWrap/>
        <w:overflowPunct/>
        <w:topLinePunct w:val="0"/>
        <w:autoSpaceDE/>
        <w:autoSpaceDN/>
        <w:bidi w:val="0"/>
        <w:snapToGrid w:val="0"/>
        <w:spacing w:before="0" w:after="0" w:line="360" w:lineRule="auto"/>
        <w:ind w:firstLine="480"/>
        <w:rPr>
          <w:rFonts w:hint="eastAsia" w:eastAsia="黑体"/>
          <w:bCs/>
          <w:color w:val="auto"/>
          <w:sz w:val="24"/>
          <w:szCs w:val="24"/>
        </w:rPr>
      </w:pPr>
      <w:r>
        <w:rPr>
          <w:rFonts w:hint="eastAsia" w:eastAsia="黑体"/>
          <w:bCs/>
          <w:color w:val="auto"/>
          <w:sz w:val="24"/>
          <w:szCs w:val="24"/>
        </w:rPr>
        <w:t>质量复核人：王丽</w:t>
      </w:r>
    </w:p>
    <w:p>
      <w:pPr>
        <w:pageBreakBefore w:val="0"/>
        <w:widowControl/>
        <w:kinsoku/>
        <w:wordWrap/>
        <w:overflowPunct/>
        <w:topLinePunct w:val="0"/>
        <w:autoSpaceDE/>
        <w:autoSpaceDN/>
        <w:bidi w:val="0"/>
        <w:snapToGrid w:val="0"/>
        <w:spacing w:before="0" w:after="0" w:line="360" w:lineRule="auto"/>
        <w:ind w:firstLine="480"/>
        <w:rPr>
          <w:rFonts w:hint="eastAsia" w:eastAsia="黑体"/>
          <w:bCs/>
          <w:color w:val="auto"/>
          <w:sz w:val="24"/>
          <w:szCs w:val="24"/>
        </w:rPr>
      </w:pPr>
      <w:r>
        <w:rPr>
          <w:rFonts w:hint="eastAsia" w:eastAsia="黑体"/>
          <w:bCs/>
          <w:color w:val="auto"/>
          <w:sz w:val="24"/>
          <w:szCs w:val="24"/>
        </w:rPr>
        <w:t>项目负责人：石俊宇</w:t>
      </w:r>
    </w:p>
    <w:p>
      <w:pPr>
        <w:pageBreakBefore w:val="0"/>
        <w:widowControl/>
        <w:kinsoku/>
        <w:wordWrap/>
        <w:overflowPunct/>
        <w:topLinePunct w:val="0"/>
        <w:autoSpaceDE/>
        <w:autoSpaceDN/>
        <w:bidi w:val="0"/>
        <w:snapToGrid w:val="0"/>
        <w:spacing w:before="0" w:after="0" w:line="360" w:lineRule="auto"/>
        <w:ind w:firstLine="480"/>
        <w:rPr>
          <w:rFonts w:eastAsia="黑体"/>
          <w:bCs/>
          <w:color w:val="auto"/>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fmt="upperRoman" w:start="1"/>
          <w:cols w:space="720" w:num="1"/>
          <w:docGrid w:type="lines" w:linePitch="312" w:charSpace="0"/>
        </w:sectPr>
      </w:pPr>
      <w:r>
        <w:rPr>
          <w:rFonts w:hint="eastAsia" w:eastAsia="黑体"/>
          <w:bCs/>
          <w:color w:val="auto"/>
          <w:sz w:val="24"/>
          <w:szCs w:val="24"/>
        </w:rPr>
        <w:t>项目组成员：马红伟</w:t>
      </w:r>
    </w:p>
    <w:p>
      <w:pPr>
        <w:pStyle w:val="5"/>
        <w:pageBreakBefore w:val="0"/>
        <w:kinsoku/>
        <w:wordWrap/>
        <w:overflowPunct/>
        <w:topLinePunct w:val="0"/>
        <w:autoSpaceDE/>
        <w:autoSpaceDN/>
        <w:bidi w:val="0"/>
        <w:snapToGrid w:val="0"/>
        <w:spacing w:before="0" w:after="0" w:line="360" w:lineRule="auto"/>
        <w:ind w:firstLine="0" w:firstLineChars="0"/>
        <w:jc w:val="center"/>
        <w:rPr>
          <w:color w:val="auto"/>
        </w:rPr>
      </w:pPr>
      <w:bookmarkStart w:id="0" w:name="_Toc10292"/>
      <w:bookmarkStart w:id="1" w:name="_Toc13486"/>
      <w:bookmarkStart w:id="2" w:name="_Toc27606"/>
      <w:bookmarkStart w:id="3" w:name="_Toc9680"/>
      <w:bookmarkStart w:id="4" w:name="_Toc26712"/>
      <w:bookmarkStart w:id="5" w:name="_Toc16666"/>
      <w:bookmarkStart w:id="6" w:name="_Toc17859"/>
      <w:r>
        <w:rPr>
          <w:color w:val="auto"/>
          <w:szCs w:val="32"/>
        </w:rPr>
        <w:t>报告摘要</w:t>
      </w:r>
      <w:bookmarkEnd w:id="0"/>
      <w:bookmarkEnd w:id="1"/>
      <w:bookmarkEnd w:id="2"/>
      <w:bookmarkEnd w:id="3"/>
      <w:bookmarkEnd w:id="4"/>
      <w:bookmarkEnd w:id="5"/>
      <w:bookmarkEnd w:id="6"/>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受</w:t>
      </w:r>
      <w:r>
        <w:rPr>
          <w:rFonts w:hint="eastAsia" w:asciiTheme="minorEastAsia" w:hAnsiTheme="minorEastAsia" w:eastAsiaTheme="minorEastAsia" w:cstheme="minorEastAsia"/>
          <w:color w:val="auto"/>
          <w:lang w:val="en-US" w:eastAsia="zh-CN"/>
        </w:rPr>
        <w:t>巴楚县财政局</w:t>
      </w:r>
      <w:r>
        <w:rPr>
          <w:rFonts w:hint="eastAsia" w:asciiTheme="minorEastAsia" w:hAnsiTheme="minorEastAsia" w:eastAsiaTheme="minorEastAsia" w:cstheme="minorEastAsia"/>
          <w:color w:val="auto"/>
        </w:rPr>
        <w:t>委托，新疆驰远天合有限责任会计师事务所以第三方社会评价机构的身份，对</w:t>
      </w:r>
      <w:r>
        <w:rPr>
          <w:rFonts w:hint="eastAsia" w:asciiTheme="minorEastAsia" w:hAnsiTheme="minorEastAsia" w:eastAsiaTheme="minorEastAsia" w:cstheme="minorEastAsia"/>
          <w:color w:val="auto"/>
          <w:lang w:val="en-US" w:eastAsia="zh-CN"/>
        </w:rPr>
        <w:t>2024</w:t>
      </w:r>
      <w:r>
        <w:rPr>
          <w:rFonts w:hint="eastAsia" w:asciiTheme="minorEastAsia" w:hAnsiTheme="minorEastAsia" w:eastAsiaTheme="minorEastAsia" w:cstheme="minorEastAsia"/>
          <w:color w:val="auto"/>
        </w:rPr>
        <w:t>年度</w:t>
      </w:r>
      <w:r>
        <w:rPr>
          <w:rFonts w:hint="eastAsia" w:asciiTheme="minorEastAsia" w:hAnsiTheme="minorEastAsia" w:eastAsiaTheme="minorEastAsia" w:cstheme="minorEastAsia"/>
          <w:color w:val="auto"/>
          <w:lang w:val="en-US" w:eastAsia="zh-CN"/>
        </w:rPr>
        <w:t>巴楚县自然资源局</w:t>
      </w:r>
      <w:r>
        <w:rPr>
          <w:rFonts w:hint="eastAsia" w:asciiTheme="minorEastAsia" w:hAnsiTheme="minorEastAsia" w:eastAsiaTheme="minorEastAsia" w:cstheme="minorEastAsia"/>
          <w:color w:val="auto"/>
        </w:rPr>
        <w:t>实施的</w:t>
      </w:r>
      <w:r>
        <w:rPr>
          <w:rFonts w:hint="eastAsia" w:asciiTheme="minorEastAsia" w:hAnsiTheme="minorEastAsia" w:eastAsiaTheme="minorEastAsia" w:cstheme="minorEastAsia"/>
          <w:color w:val="auto"/>
          <w:lang w:val="en-US" w:eastAsia="zh-CN"/>
        </w:rPr>
        <w:t>2024年中央林业草原生态保护恢复资金（森林保护修复）项目</w:t>
      </w:r>
      <w:r>
        <w:rPr>
          <w:rFonts w:hint="eastAsia" w:asciiTheme="minorEastAsia" w:hAnsiTheme="minorEastAsia" w:eastAsiaTheme="minorEastAsia" w:cstheme="minorEastAsia"/>
          <w:color w:val="auto"/>
        </w:rPr>
        <w:t>开展了绩效评价工作并形成绩效评价报告，评价情况如下</w:t>
      </w:r>
      <w:r>
        <w:rPr>
          <w:rFonts w:hint="eastAsia" w:asciiTheme="minorEastAsia" w:hAnsiTheme="minorEastAsia" w:cstheme="minorEastAsia"/>
          <w:color w:val="auto"/>
          <w:lang w:eastAsia="zh-CN"/>
        </w:rPr>
        <w:t>。</w:t>
      </w:r>
    </w:p>
    <w:p>
      <w:pPr>
        <w:pageBreakBefore w:val="0"/>
        <w:kinsoku/>
        <w:wordWrap/>
        <w:overflowPunct/>
        <w:topLinePunct w:val="0"/>
        <w:autoSpaceDE/>
        <w:autoSpaceDN/>
        <w:bidi w:val="0"/>
        <w:snapToGrid w:val="0"/>
        <w:spacing w:before="0" w:after="0" w:line="360" w:lineRule="auto"/>
        <w:ind w:firstLine="482"/>
        <w:rPr>
          <w:b/>
          <w:bCs/>
          <w:color w:val="auto"/>
          <w:sz w:val="24"/>
          <w:szCs w:val="28"/>
        </w:rPr>
      </w:pPr>
      <w:r>
        <w:rPr>
          <w:b/>
          <w:bCs/>
          <w:color w:val="auto"/>
          <w:sz w:val="24"/>
          <w:szCs w:val="28"/>
        </w:rPr>
        <w:t>一、基本情况</w:t>
      </w:r>
    </w:p>
    <w:p>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（一）项目背景</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根据《中华人民共和国森林法》及财政部、国家林草局联合印发的《林业草原生态保护恢复资金管理办法》（财资环〔2024〕159号）相关规定，中央财政设立专项转移支付资金，重点支持天然林保护修复、森林生态系统质量提升等国家战略工程。2024年新修订的管理办法进一步优化资金使用结构，将原有分散管理的国有林管护、森林抚育等资金整合为森林保护修复补助，着力提高财政资金使用效益和政策协同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巴楚县作为南疆重要生态屏障区，地处塔克拉玛干沙漠生态脆弱带，当前面临森林生态系统退化、荒漠化防治压力大等突出问题。通过实施封山育林、退化林修复等系统性工程，可有效提升森林资源质量，增强区域生态服务功能。该项目实施符合党中央关于“统筹山水林田湖草沙系统治理”的决策部署，是落实《全国重要生态系统保护和修复重大工程总体规划》的具体实践。</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项目的实施，将有效提升区域生态系统的稳定性和可持续性，通过构建科学化、规范化的森林资源管理体系，全面加强森林火灾预防、有害生物防控等生态安全保障能力建设。同时可带动当地就业，促进生态保护与民生改善协调发展，对维护边疆地区社会稳定、铸牢中华民族共同体意识具有积极意义。</w:t>
      </w:r>
    </w:p>
    <w:p>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（二）项目概况</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项目名称：2024年中央林业草原生态保护恢复资金（森林保护修复）项目（以下简称“该项目”或“项目”）</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项目实施单位：喀什地区巴楚县自然资源局</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项目内容：聘用82名公益林管护员，对64.51万亩国家级公益林管护进行有效管护，开展2024年森林督查调查。通过该项目的建设，为当地居民提供稳定的就业机会，有效的管护工作确保森林资源的持续增值，为林业产业的长期发展奠定坚实基础，为当地乃至全国的森林资源保护与可持续发展</w:t>
      </w:r>
      <w:r>
        <w:rPr>
          <w:rFonts w:hint="eastAsia" w:asciiTheme="minorEastAsia" w:hAnsiTheme="minorEastAsia" w:cstheme="minorEastAsia"/>
          <w:color w:val="auto"/>
          <w:lang w:eastAsia="zh-CN"/>
        </w:rPr>
        <w:t>作</w:t>
      </w:r>
      <w:r>
        <w:rPr>
          <w:rFonts w:hint="eastAsia" w:asciiTheme="minorEastAsia" w:hAnsiTheme="minorEastAsia" w:eastAsiaTheme="minorEastAsia" w:cstheme="minorEastAsia"/>
          <w:color w:val="auto"/>
        </w:rPr>
        <w:t>出重要贡献</w:t>
      </w:r>
      <w:r>
        <w:rPr>
          <w:rFonts w:hint="eastAsia" w:asciiTheme="minorEastAsia" w:hAnsiTheme="minorEastAsia" w:eastAsiaTheme="minorEastAsia" w:cstheme="minorEastAsia"/>
          <w:color w:val="auto"/>
          <w:lang w:eastAsia="zh-CN"/>
        </w:rPr>
        <w:t>。</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rPr>
        <w:t>管护员</w:t>
      </w:r>
      <w:r>
        <w:rPr>
          <w:rFonts w:hint="eastAsia" w:asciiTheme="minorEastAsia" w:hAnsiTheme="minorEastAsia" w:eastAsiaTheme="minorEastAsia" w:cstheme="minorEastAsia"/>
          <w:color w:val="auto"/>
          <w:lang w:val="en-US" w:eastAsia="zh-CN"/>
        </w:rPr>
        <w:t>劳务报酬标准：管护员基本报酬：2</w:t>
      </w:r>
      <w:r>
        <w:rPr>
          <w:rFonts w:hint="eastAsia" w:asciiTheme="minorEastAsia" w:hAnsiTheme="minorEastAsia" w:cstheme="minorEastAsia"/>
          <w:color w:val="auto"/>
          <w:lang w:val="en-US" w:eastAsia="zh-CN"/>
        </w:rPr>
        <w:t>,</w:t>
      </w:r>
      <w:r>
        <w:rPr>
          <w:rFonts w:hint="eastAsia" w:asciiTheme="minorEastAsia" w:hAnsiTheme="minorEastAsia" w:eastAsiaTheme="minorEastAsia" w:cstheme="minorEastAsia"/>
          <w:color w:val="auto"/>
          <w:lang w:val="en-US" w:eastAsia="zh-CN"/>
        </w:rPr>
        <w:t>590.38元/人/月；监管员基本报酬：4</w:t>
      </w:r>
      <w:r>
        <w:rPr>
          <w:rFonts w:hint="eastAsia" w:asciiTheme="minorEastAsia" w:hAnsiTheme="minorEastAsia" w:cstheme="minorEastAsia"/>
          <w:color w:val="auto"/>
          <w:lang w:val="en-US" w:eastAsia="zh-CN"/>
        </w:rPr>
        <w:t>,</w:t>
      </w:r>
      <w:r>
        <w:rPr>
          <w:rFonts w:hint="eastAsia" w:asciiTheme="minorEastAsia" w:hAnsiTheme="minorEastAsia" w:eastAsiaTheme="minorEastAsia" w:cstheme="minorEastAsia"/>
          <w:color w:val="auto"/>
          <w:lang w:val="en-US" w:eastAsia="zh-CN"/>
        </w:rPr>
        <w:t>414.23元/人/月；绩效工资：400元/人/月；基本养老保险：800元/人/月；失业保险：25元/人/月；医疗保险：349元/人/月；工伤保险：20元/人/月；大额医疗保险：10元/人/月；人身意外伤害保险：400元/人/月；住房公积金支出：119元/人/月。</w:t>
      </w:r>
    </w:p>
    <w:p>
      <w:pPr>
        <w:pageBreakBefore w:val="0"/>
        <w:kinsoku/>
        <w:wordWrap/>
        <w:overflowPunct/>
        <w:topLinePunct w:val="0"/>
        <w:autoSpaceDE/>
        <w:autoSpaceDN/>
        <w:bidi w:val="0"/>
        <w:snapToGrid w:val="0"/>
        <w:spacing w:before="0" w:after="0" w:line="360" w:lineRule="auto"/>
        <w:ind w:firstLine="420"/>
        <w:rPr>
          <w:rFonts w:hint="default"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项目实施周期：2024年1月-2024年12月</w:t>
      </w:r>
      <w:r>
        <w:rPr>
          <w:rFonts w:hint="eastAsia" w:asciiTheme="minorEastAsia" w:hAnsiTheme="minorEastAsia" w:eastAsiaTheme="minorEastAsia" w:cstheme="minorEastAsia"/>
          <w:color w:val="auto"/>
        </w:rPr>
        <w:t>。</w:t>
      </w:r>
    </w:p>
    <w:p>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（三）资金使用情况</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lang w:val="en-US" w:eastAsia="zh-CN"/>
        </w:rPr>
        <w:t>根据《关于预告知2024年中央林业草原生态保护恢复资金的通知》（巴财建〔2023〕43号）、《关于提前下达2024年中央林业草原生态保护恢复资金的通知》（喀地财建〔2023〕105号）、《关于巴楚县2024年中央林业草原生态保护恢复资金（森林保护修复）项目实施方案的批复》（喀地林发字〔2024〕40号），</w:t>
      </w:r>
      <w:r>
        <w:rPr>
          <w:rFonts w:hint="eastAsia" w:asciiTheme="minorEastAsia" w:hAnsiTheme="minorEastAsia" w:eastAsiaTheme="minorEastAsia" w:cstheme="minorEastAsia"/>
          <w:color w:val="auto"/>
        </w:rPr>
        <w:t>项目预算资金</w:t>
      </w:r>
      <w:r>
        <w:rPr>
          <w:rFonts w:hint="eastAsia" w:asciiTheme="minorEastAsia" w:hAnsiTheme="minorEastAsia" w:eastAsiaTheme="minorEastAsia" w:cstheme="minorEastAsia"/>
          <w:color w:val="auto"/>
          <w:lang w:val="en-US" w:eastAsia="zh-CN"/>
        </w:rPr>
        <w:t>495万元</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val="en-US" w:eastAsia="zh-CN"/>
        </w:rPr>
        <w:t>资金来源：中央生态环保转移专项资金。</w:t>
      </w:r>
      <w:r>
        <w:rPr>
          <w:rFonts w:hint="eastAsia" w:asciiTheme="minorEastAsia" w:hAnsiTheme="minorEastAsia" w:eastAsiaTheme="minorEastAsia" w:cstheme="minorEastAsia"/>
          <w:color w:val="auto"/>
        </w:rPr>
        <w:t>主要用于管护运行保障经费，根据实施方案批复内容，其中：计划管护人员劳务支出467.12万元，日常管护支出17.88万元，</w:t>
      </w:r>
      <w:r>
        <w:rPr>
          <w:rFonts w:hint="eastAsia" w:asciiTheme="minorEastAsia" w:hAnsiTheme="minorEastAsia" w:eastAsiaTheme="minorEastAsia" w:cstheme="minorEastAsia"/>
          <w:color w:val="auto"/>
          <w:lang w:eastAsia="zh-CN"/>
        </w:rPr>
        <w:t>其他</w:t>
      </w:r>
      <w:r>
        <w:rPr>
          <w:rFonts w:hint="eastAsia" w:asciiTheme="minorEastAsia" w:hAnsiTheme="minorEastAsia" w:eastAsiaTheme="minorEastAsia" w:cstheme="minorEastAsia"/>
          <w:color w:val="auto"/>
        </w:rPr>
        <w:t>必要（森林督查）支出10万元。</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截至2024年12月31日，项目实际支出482.09万元，预算资金执行率97.39%，其中，管护人员劳务支出464.87万元，日常管护费17.21万元，其他必要（森林督查）支出0万元。</w:t>
      </w:r>
    </w:p>
    <w:p>
      <w:pPr>
        <w:pageBreakBefore w:val="0"/>
        <w:kinsoku/>
        <w:wordWrap/>
        <w:overflowPunct/>
        <w:topLinePunct w:val="0"/>
        <w:autoSpaceDE/>
        <w:autoSpaceDN/>
        <w:bidi w:val="0"/>
        <w:snapToGrid w:val="0"/>
        <w:spacing w:before="0" w:after="0" w:line="360" w:lineRule="auto"/>
        <w:ind w:firstLine="422"/>
        <w:rPr>
          <w:b/>
          <w:bCs/>
          <w:color w:val="auto"/>
        </w:rPr>
      </w:pPr>
      <w:r>
        <w:rPr>
          <w:rFonts w:hint="eastAsia"/>
          <w:b/>
          <w:bCs/>
          <w:color w:val="auto"/>
          <w:sz w:val="24"/>
          <w:szCs w:val="28"/>
          <w:lang w:val="en-US" w:eastAsia="zh-CN"/>
        </w:rPr>
        <w:t>二</w:t>
      </w:r>
      <w:r>
        <w:rPr>
          <w:b/>
          <w:bCs/>
          <w:color w:val="auto"/>
          <w:sz w:val="24"/>
          <w:szCs w:val="28"/>
        </w:rPr>
        <w:t>、评价结论</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zh-TW" w:eastAsia="zh-TW"/>
        </w:rPr>
        <w:t>通过调研、数据分析、访谈等方式，根据工作方案确定的指标体系及评分标准，对</w:t>
      </w:r>
      <w:r>
        <w:rPr>
          <w:rFonts w:hint="eastAsia" w:asciiTheme="minorEastAsia" w:hAnsiTheme="minorEastAsia" w:eastAsiaTheme="minorEastAsia" w:cstheme="minorEastAsia"/>
          <w:color w:val="auto"/>
          <w:lang w:val="zh-TW" w:eastAsia="zh-CN"/>
        </w:rPr>
        <w:t>“</w:t>
      </w:r>
      <w:r>
        <w:rPr>
          <w:rFonts w:hint="eastAsia" w:asciiTheme="minorEastAsia" w:hAnsiTheme="minorEastAsia" w:eastAsiaTheme="minorEastAsia" w:cstheme="minorEastAsia"/>
          <w:color w:val="auto"/>
          <w:lang w:val="en-US" w:eastAsia="zh-CN"/>
        </w:rPr>
        <w:t>2024年中央林业草原生态保护恢复资金（森林保护修复）项目</w:t>
      </w:r>
      <w:r>
        <w:rPr>
          <w:rFonts w:hint="eastAsia" w:asciiTheme="minorEastAsia" w:hAnsiTheme="minorEastAsia" w:eastAsiaTheme="minorEastAsia" w:cstheme="minorEastAsia"/>
          <w:color w:val="auto"/>
          <w:lang w:val="zh-TW" w:eastAsia="zh-CN"/>
        </w:rPr>
        <w:t>”</w:t>
      </w:r>
      <w:r>
        <w:rPr>
          <w:rFonts w:hint="eastAsia" w:asciiTheme="minorEastAsia" w:hAnsiTheme="minorEastAsia" w:eastAsiaTheme="minorEastAsia" w:cstheme="minorEastAsia"/>
          <w:color w:val="auto"/>
          <w:lang w:val="zh-TW" w:eastAsia="zh-TW"/>
        </w:rPr>
        <w:t>绩效进行客观评价</w:t>
      </w:r>
      <w:r>
        <w:rPr>
          <w:rFonts w:hint="eastAsia" w:asciiTheme="minorEastAsia" w:hAnsiTheme="minorEastAsia" w:eastAsiaTheme="minorEastAsia" w:cstheme="minorEastAsia"/>
          <w:color w:val="auto"/>
          <w:lang w:val="en-US" w:eastAsia="zh-CN"/>
        </w:rPr>
        <w:t>，该项目最终得分为92.52分，评价级别属于“优”。各部分权重和绩效分值如下表</w:t>
      </w:r>
      <w:r>
        <w:rPr>
          <w:rFonts w:hint="eastAsia" w:asciiTheme="minorEastAsia" w:hAnsiTheme="minorEastAsia" w:cstheme="minorEastAsia"/>
          <w:color w:val="auto"/>
          <w:lang w:val="en-US" w:eastAsia="zh-CN"/>
        </w:rPr>
        <w:t>。</w:t>
      </w:r>
    </w:p>
    <w:p>
      <w:pPr>
        <w:pStyle w:val="30"/>
        <w:pageBreakBefore w:val="0"/>
        <w:kinsoku/>
        <w:wordWrap/>
        <w:overflowPunct/>
        <w:topLinePunct w:val="0"/>
        <w:autoSpaceDE/>
        <w:autoSpaceDN/>
        <w:bidi w:val="0"/>
        <w:snapToGrid w:val="0"/>
        <w:spacing w:before="0" w:after="0" w:line="360" w:lineRule="auto"/>
        <w:jc w:val="center"/>
        <w:rPr>
          <w:rFonts w:hAnsi="Times New Roman" w:eastAsia="黑体" w:cs="Times New Roman"/>
          <w:bCs/>
          <w:color w:val="auto"/>
          <w:sz w:val="21"/>
          <w:szCs w:val="21"/>
        </w:rPr>
      </w:pPr>
      <w:r>
        <w:rPr>
          <w:rFonts w:hAnsi="Times New Roman" w:eastAsia="黑体" w:cs="Times New Roman"/>
          <w:bCs/>
          <w:color w:val="auto"/>
          <w:sz w:val="21"/>
          <w:szCs w:val="21"/>
          <w:lang w:val="zh-TW" w:eastAsia="zh-TW"/>
        </w:rPr>
        <w:t>表</w:t>
      </w:r>
      <w:r>
        <w:rPr>
          <w:rFonts w:hint="eastAsia" w:hAnsi="Times New Roman" w:eastAsia="黑体" w:cs="Times New Roman"/>
          <w:bCs/>
          <w:color w:val="auto"/>
          <w:sz w:val="21"/>
          <w:szCs w:val="21"/>
          <w:lang w:val="en-US" w:eastAsia="zh-CN"/>
        </w:rPr>
        <w:t>1</w:t>
      </w:r>
      <w:r>
        <w:rPr>
          <w:rFonts w:hAnsi="Times New Roman" w:eastAsia="黑体" w:cs="Times New Roman"/>
          <w:bCs/>
          <w:color w:val="auto"/>
          <w:sz w:val="21"/>
          <w:szCs w:val="21"/>
          <w:lang w:val="zh-TW"/>
        </w:rPr>
        <w:t>：</w:t>
      </w:r>
      <w:r>
        <w:rPr>
          <w:rFonts w:hint="eastAsia" w:hAnsi="Times New Roman" w:eastAsia="黑体" w:cs="Times New Roman"/>
          <w:bCs/>
          <w:color w:val="auto"/>
          <w:sz w:val="21"/>
          <w:szCs w:val="21"/>
          <w:lang w:val="en-US" w:eastAsia="zh-CN"/>
        </w:rPr>
        <w:t>2024年中央林业草原生态保护恢复资金（森林保护修复）项目</w:t>
      </w:r>
      <w:r>
        <w:rPr>
          <w:rFonts w:hAnsi="Times New Roman" w:eastAsia="黑体" w:cs="Times New Roman"/>
          <w:bCs/>
          <w:color w:val="auto"/>
          <w:sz w:val="21"/>
          <w:szCs w:val="21"/>
          <w:lang w:val="zh-TW"/>
        </w:rPr>
        <w:t>得分表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9</w:t>
            </w:r>
            <w:r>
              <w:rPr>
                <w:rFonts w:hint="eastAsia" w:hAnsi="Times New Roman" w:eastAsia="宋体" w:cs="Times New Roman"/>
                <w:color w:val="auto"/>
                <w:sz w:val="21"/>
                <w:szCs w:val="21"/>
                <w:lang w:eastAsia="zh-CN"/>
              </w:rPr>
              <w:t>.6</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21</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26.92</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92.52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96%</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84%</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89.73%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92.52%</w:t>
            </w:r>
          </w:p>
        </w:tc>
      </w:tr>
    </w:tbl>
    <w:p>
      <w:pPr>
        <w:pageBreakBefore w:val="0"/>
        <w:kinsoku/>
        <w:wordWrap/>
        <w:overflowPunct/>
        <w:topLinePunct w:val="0"/>
        <w:autoSpaceDE/>
        <w:autoSpaceDN/>
        <w:bidi w:val="0"/>
        <w:snapToGrid w:val="0"/>
        <w:spacing w:before="0" w:after="0" w:line="360" w:lineRule="auto"/>
        <w:ind w:firstLine="422"/>
        <w:rPr>
          <w:b/>
          <w:bCs/>
          <w:color w:val="auto"/>
          <w:lang w:val="zh-TW"/>
        </w:rPr>
      </w:pPr>
    </w:p>
    <w:p>
      <w:pPr>
        <w:pageBreakBefore w:val="0"/>
        <w:kinsoku/>
        <w:wordWrap/>
        <w:overflowPunct/>
        <w:topLinePunct w:val="0"/>
        <w:autoSpaceDE/>
        <w:autoSpaceDN/>
        <w:bidi w:val="0"/>
        <w:snapToGrid w:val="0"/>
        <w:spacing w:before="0" w:after="0" w:line="360" w:lineRule="auto"/>
        <w:ind w:firstLine="482"/>
        <w:rPr>
          <w:color w:val="auto"/>
          <w:sz w:val="24"/>
          <w:szCs w:val="28"/>
        </w:rPr>
      </w:pPr>
      <w:r>
        <w:rPr>
          <w:rFonts w:hint="eastAsia"/>
          <w:b/>
          <w:bCs/>
          <w:color w:val="auto"/>
          <w:sz w:val="24"/>
          <w:szCs w:val="28"/>
          <w:lang w:val="en-US" w:eastAsia="zh-CN"/>
        </w:rPr>
        <w:t>三</w:t>
      </w:r>
      <w:r>
        <w:rPr>
          <w:b/>
          <w:bCs/>
          <w:color w:val="auto"/>
          <w:sz w:val="24"/>
          <w:szCs w:val="28"/>
        </w:rPr>
        <w:t>、取得的业绩、存在的问题和改进的建议</w:t>
      </w:r>
    </w:p>
    <w:p>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（一）主要经验及做法</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一是加强队伍建设。在人员选聘环节，严格遵循“公开、公平、公正”原则，通过县乡村三级联动机制，从脱贫人口中择优选拔80余名管护人员。选聘过程严格执行公告发布、个人申请、村级评议、乡镇审核、县级备案等程序，并在各村进行公示，确保选聘工作透明规范。在队伍管理方面，实行“能进能出”的动态调整机制，建立以日常考勤、巡护成效、管护质量为核心的考核评价体系，对履职不到位的及时予以调整，同时通过公开程序补充合格人员。依托信息化管理平台，实现对护林员巡护轨迹的实时监控和定期抽查，确保每片林区、每个山头都有专人负责，切实做到责任到人、管护到位。</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二是加强培训，定制管理制度。通过定期组织专业培训，系统提升护林员的政策法规意识和业务能力，重点强化林业法律法规、生态保护政策、病虫害防治等专业知识。各乡镇林业站建立常态化考核机制，对护林员履职情况进行定期评估，确保管护区域内野生动植物资源得到有效保护。管理机制方面，实行规范化档案管理和动态聘用制度。建立县乡两级联动的档案管理体系，配备专人负责档案资料的收集整理。推行年度考核与聘用相结合的动态管理机制，对表现优秀的护林员予以续聘，对不符合岗位要求的及时调整，确保管护队伍始终保持良好工作状态。</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三是加强资金监管及风险防控。分级档案管理体系。建立覆盖区县乡三级的档案管理网络，实行管护协议标准化归档制度，通过规范选聘材料、日常巡护记录、绩效考核资料等关键环节的档案管理，形成完整的工作痕迹链条，为审计监督提供可靠依据；职业保障机制。为在岗人员统一购买人身意外险，配备日常管护必需品，确保管护员人身安全的前提下，对护林工作日常需求做到有效保障；动态管理机制。实施健康状况跟踪监测制度，对不符合岗位身体条件要求的人员建立科学评估和有序退出机制，及时调整不适合继续从事野外作业的人员岗位。</w:t>
      </w:r>
    </w:p>
    <w:p>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（二）存在的问题</w:t>
      </w:r>
    </w:p>
    <w:p>
      <w:pPr>
        <w:pageBreakBefore w:val="0"/>
        <w:kinsoku/>
        <w:wordWrap/>
        <w:overflowPunct/>
        <w:topLinePunct w:val="0"/>
        <w:autoSpaceDE/>
        <w:autoSpaceDN/>
        <w:bidi w:val="0"/>
        <w:snapToGrid w:val="0"/>
        <w:spacing w:before="0" w:after="0" w:line="360" w:lineRule="auto"/>
        <w:ind w:firstLine="420"/>
        <w:jc w:val="left"/>
        <w:rPr>
          <w:rFonts w:hint="eastAsia"/>
          <w:b/>
          <w:bCs/>
          <w:color w:val="auto"/>
        </w:rPr>
      </w:pPr>
      <w:r>
        <w:rPr>
          <w:rFonts w:hint="eastAsia"/>
          <w:b/>
          <w:bCs/>
          <w:color w:val="auto"/>
        </w:rPr>
        <w:t>1.实际工作开展情况与计划存在实质性偏差</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经查证项目的《项目支出绩效目标表》，该项目有绩效目标，具体目标内容：“项目总投资495万元，其中，管护人员劳务467.12万元，用于82名公益林管护员的劳务报酬；日常管护27.88万元，用于保障64.51万亩国家级公益林的日常管护工作。开展2024年森林督查调查，规范有序推进森林保护和林业执法工作。”但《项目支出绩效目标表》中未设定与森林督查调查有关的指标，指标设定缺乏明确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经查证《新疆维吾尔自治区巴楚县2024年中央财政林业草原改革发展资金森林保护修复项目实施方案》显示，“5月份开展一次集中培训学习、10月份开展一次集中培训学习”，但根据绩效目标表中未设置培训工作次数，与实际工作内容缺乏相关性、一致性。综上所述，工作开展时间节点与计划节点不一致，与实际工作内容缺乏相关性、一致性。</w:t>
      </w:r>
    </w:p>
    <w:p>
      <w:pPr>
        <w:pageBreakBefore w:val="0"/>
        <w:kinsoku/>
        <w:wordWrap/>
        <w:overflowPunct/>
        <w:topLinePunct w:val="0"/>
        <w:autoSpaceDE/>
        <w:autoSpaceDN/>
        <w:bidi w:val="0"/>
        <w:snapToGrid w:val="0"/>
        <w:spacing w:before="0" w:after="0" w:line="360" w:lineRule="auto"/>
        <w:ind w:firstLine="420"/>
        <w:jc w:val="left"/>
        <w:rPr>
          <w:rFonts w:hint="eastAsia"/>
          <w:b/>
          <w:bCs/>
          <w:color w:val="auto"/>
        </w:rPr>
      </w:pPr>
      <w:r>
        <w:rPr>
          <w:rFonts w:hint="eastAsia"/>
          <w:b/>
          <w:bCs/>
          <w:color w:val="auto"/>
        </w:rPr>
        <w:t>2.资金使用缺乏合规性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协议执行偏差，签订加油协议价款2万元，实际提供的《巴楚县自然资源局公务用车加油登记表》中加油费为2</w:t>
      </w:r>
      <w:r>
        <w:rPr>
          <w:rFonts w:hint="eastAsia" w:asciiTheme="minorEastAsia" w:hAnsiTheme="minorEastAsia" w:cstheme="minorEastAsia"/>
          <w:color w:val="auto"/>
          <w:lang w:val="zh-TW" w:eastAsia="zh-CN"/>
        </w:rPr>
        <w:t>.4</w:t>
      </w:r>
      <w:r>
        <w:rPr>
          <w:rFonts w:hint="eastAsia" w:asciiTheme="minorEastAsia" w:hAnsiTheme="minorEastAsia" w:eastAsiaTheme="minorEastAsia" w:cstheme="minorEastAsia"/>
          <w:color w:val="auto"/>
          <w:lang w:val="zh-TW" w:eastAsia="zh-TW"/>
        </w:rPr>
        <w:t>万元，超出协议价款0</w:t>
      </w:r>
      <w:r>
        <w:rPr>
          <w:rFonts w:hint="eastAsia" w:asciiTheme="minorEastAsia" w:hAnsiTheme="minorEastAsia" w:cstheme="minorEastAsia"/>
          <w:color w:val="auto"/>
          <w:lang w:val="zh-TW" w:eastAsia="zh-CN"/>
        </w:rPr>
        <w:t>.4</w:t>
      </w:r>
      <w:r>
        <w:rPr>
          <w:rFonts w:hint="eastAsia" w:asciiTheme="minorEastAsia" w:hAnsiTheme="minorEastAsia" w:eastAsiaTheme="minorEastAsia" w:cstheme="minorEastAsia"/>
          <w:color w:val="auto"/>
          <w:lang w:val="zh-TW" w:eastAsia="zh-TW"/>
        </w:rPr>
        <w:t>万元；车牌新Q91128车辆于2024年8月14日单日两次加油共计695元，缺乏合理性；财务报销程序不完善，水电费缴纳3万元未附缴费通知单及费用报销单，资金拨付审批手续不完整。</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经查阅《巴楚县自然资源局党组2024年第六次会议纪要》（巴自资党纪〔2024〕6号）以及国库支付凭证，单位直接缴纳3万元的水电费，支付行为未附水电费缴费通知单及费用报销单，单位内部审批资金的拨付缺乏完整的审批程序和手续。</w:t>
      </w:r>
    </w:p>
    <w:p>
      <w:pPr>
        <w:pageBreakBefore w:val="0"/>
        <w:kinsoku/>
        <w:wordWrap/>
        <w:overflowPunct/>
        <w:topLinePunct w:val="0"/>
        <w:autoSpaceDE/>
        <w:autoSpaceDN/>
        <w:bidi w:val="0"/>
        <w:snapToGrid w:val="0"/>
        <w:spacing w:before="0" w:after="0" w:line="360" w:lineRule="auto"/>
        <w:ind w:firstLine="420"/>
        <w:jc w:val="left"/>
        <w:rPr>
          <w:rFonts w:hint="eastAsia"/>
          <w:b/>
          <w:bCs/>
          <w:color w:val="auto"/>
        </w:rPr>
      </w:pPr>
      <w:r>
        <w:rPr>
          <w:rFonts w:hint="eastAsia"/>
          <w:b/>
          <w:bCs/>
          <w:color w:val="auto"/>
        </w:rPr>
        <w:t>3.合同管理缺乏规范性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经查证《合同》《验收单》，单位与中华联合财产保险股份有限公司巴楚县支公司签订意外伤害保险服务合同、与巴楚县鸿运广告部签订广告制作、宣传合同、与新疆昊森工程科技有限公司签订巴楚县2024年森林督查调查项目合同时，合同签订日期及验收时间均未填写，合同文本要件不完整，不符合《中华人民共和国政府采购法实施条例》关于合同管理的规范性要求。</w:t>
      </w:r>
    </w:p>
    <w:p>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（三）有关建议</w:t>
      </w:r>
    </w:p>
    <w:p>
      <w:pPr>
        <w:pageBreakBefore w:val="0"/>
        <w:widowControl/>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1.绩效目标管理优化方案</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建立绩效目标动态调整机制，要求项目实施业务科室在资金批复后积极完成绩效目标与实施方案的匹配性复核，确保成本指标细化到具体支出方向；强化人员经费标准执行监管，对住房公积金等福利性支出实行“申报—备案—核查”三级管控，杜绝在没有具体下达文件时提高支出标准；将培训计划纳入绩效目标强制性指标，实行“计划报备—过程留痕—效果评估”全流程管理。</w:t>
      </w:r>
    </w:p>
    <w:p>
      <w:pPr>
        <w:pageBreakBefore w:val="0"/>
        <w:widowControl/>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2.资金使用监管机制</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推行公务用车“一车一卡”加油制度，建立异常消费预警机制，对单日多次加油等行为实行事前审批；严格执行预算刚性约束，超支部分需经财政部门专题审核后方可列支，并建立跨年度预算调剂机制；完善财务报销“双附件”制度，要求所有支付凭证必须附具原始单据及审批流程记录。</w:t>
      </w:r>
    </w:p>
    <w:p>
      <w:pPr>
        <w:pageBreakBefore w:val="0"/>
        <w:widowControl/>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3.加强合同执行与管理，遵守合同结算约定</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一是通过开展培训、考核等方式加强学习，进一步提高干部职工的业务能力，强化合同风险的识别和规避意识。二是加强合同管理责任。合同签订前，加强对合同主体资格、履约能力、社会信用等条件的审核，签订的合同尽量使用标准合同文本，重点关注供货时间、供货内容、约定支付方式等方面，防范合同履约风险；合同签订后，强化合同执行全过程监督检查，重点关注各阶段合同管理及执行情况，以此来督促合同主体遵循合同履约责任和义务，降低合同风险。</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sectPr>
          <w:headerReference r:id="rId9" w:type="default"/>
          <w:footerReference r:id="rId10" w:type="default"/>
          <w:pgSz w:w="11906" w:h="16838"/>
          <w:pgMar w:top="1440" w:right="1797" w:bottom="1440" w:left="1797" w:header="851" w:footer="992" w:gutter="0"/>
          <w:pgNumType w:fmt="upperRoman" w:start="1"/>
          <w:cols w:space="720" w:num="1"/>
          <w:docGrid w:type="lines" w:linePitch="312" w:charSpace="0"/>
        </w:sectPr>
      </w:pPr>
    </w:p>
    <w:sdt>
      <w:sdtPr>
        <w:rPr>
          <w:rFonts w:eastAsia="宋体"/>
          <w:color w:val="auto"/>
          <w:szCs w:val="22"/>
        </w:rPr>
        <w:id w:val="147469479"/>
        <w:docPartObj>
          <w:docPartGallery w:val="Table of Contents"/>
          <w:docPartUnique/>
        </w:docPartObj>
      </w:sdtPr>
      <w:sdtEndPr>
        <w:rPr>
          <w:rFonts w:eastAsia="宋体"/>
          <w:b/>
          <w:color w:val="auto"/>
          <w:szCs w:val="21"/>
        </w:rPr>
      </w:sdtEndPr>
      <w:sdtContent>
        <w:p>
          <w:pPr>
            <w:pageBreakBefore w:val="0"/>
            <w:kinsoku/>
            <w:wordWrap/>
            <w:overflowPunct/>
            <w:topLinePunct w:val="0"/>
            <w:autoSpaceDE/>
            <w:autoSpaceDN/>
            <w:bidi w:val="0"/>
            <w:snapToGrid w:val="0"/>
            <w:spacing w:before="0" w:after="0" w:line="360" w:lineRule="auto"/>
            <w:ind w:firstLine="0" w:firstLineChars="0"/>
            <w:jc w:val="center"/>
            <w:rPr>
              <w:rFonts w:eastAsia="宋体"/>
              <w:b/>
              <w:color w:val="auto"/>
            </w:rPr>
          </w:pPr>
          <w:r>
            <w:rPr>
              <w:rFonts w:eastAsia="宋体"/>
              <w:b/>
              <w:bCs/>
              <w:color w:val="auto"/>
              <w:sz w:val="32"/>
              <w:szCs w:val="36"/>
            </w:rPr>
            <w:t>目录</w:t>
          </w:r>
          <w:r>
            <w:rPr>
              <w:rFonts w:eastAsia="宋体"/>
              <w:color w:val="auto"/>
            </w:rPr>
            <w:fldChar w:fldCharType="begin"/>
          </w:r>
          <w:r>
            <w:rPr>
              <w:rFonts w:eastAsia="宋体"/>
              <w:color w:val="auto"/>
            </w:rPr>
            <w:instrText xml:space="preserve">TOC \o "1-2" \h \u </w:instrText>
          </w:r>
          <w:r>
            <w:rPr>
              <w:rFonts w:eastAsia="宋体"/>
              <w:color w:val="auto"/>
            </w:rPr>
            <w:fldChar w:fldCharType="separate"/>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"_Toc6747" </w:instrText>
          </w:r>
          <w:r>
            <w:rPr>
              <w:color w:val="auto"/>
            </w:rPr>
            <w:fldChar w:fldCharType="separate"/>
          </w:r>
          <w:r>
            <w:rPr>
              <w:rFonts w:hint="eastAsia" w:ascii="仿宋" w:hAnsi="仿宋" w:eastAsia="仿宋" w:cs="仿宋"/>
              <w:color w:val="auto"/>
              <w:sz w:val="22"/>
              <w:szCs w:val="22"/>
            </w:rPr>
            <w:t>一、项目基本情况</w:t>
          </w:r>
          <w:r>
            <w:rPr>
              <w:rFonts w:hint="eastAsia" w:ascii="仿宋" w:hAnsi="仿宋" w:eastAsia="仿宋" w:cs="仿宋"/>
              <w:color w:val="auto"/>
              <w:sz w:val="22"/>
              <w:szCs w:val="22"/>
            </w:rPr>
            <w:tab/>
          </w: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"_Toc28906" </w:instrText>
          </w:r>
          <w:r>
            <w:rPr>
              <w:color w:val="auto"/>
            </w:rPr>
            <w:fldChar w:fldCharType="separate"/>
          </w:r>
          <w:r>
            <w:rPr>
              <w:rFonts w:hint="eastAsia" w:ascii="仿宋" w:hAnsi="仿宋" w:eastAsia="仿宋" w:cs="仿宋"/>
              <w:color w:val="auto"/>
              <w:sz w:val="22"/>
              <w:szCs w:val="22"/>
            </w:rPr>
            <w:t>（一）项目背景及立项</w:t>
          </w:r>
          <w:r>
            <w:rPr>
              <w:rFonts w:hint="eastAsia" w:ascii="仿宋" w:hAnsi="仿宋" w:eastAsia="仿宋" w:cs="仿宋"/>
              <w:color w:val="auto"/>
              <w:sz w:val="22"/>
              <w:szCs w:val="22"/>
            </w:rPr>
            <w:tab/>
          </w:r>
          <w:r>
            <w:rPr>
              <w:rFonts w:hint="eastAsia" w:ascii="仿宋" w:hAnsi="仿宋" w:eastAsia="仿宋" w:cs="仿宋"/>
              <w:color w:val="auto"/>
              <w:sz w:val="22"/>
              <w:szCs w:val="22"/>
              <w:lang w:val="en-US" w:eastAsia="zh-CN"/>
            </w:rPr>
            <w:t>1</w:t>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"_Toc12972" </w:instrText>
          </w:r>
          <w:r>
            <w:rPr>
              <w:color w:val="auto"/>
            </w:rPr>
            <w:fldChar w:fldCharType="separate"/>
          </w:r>
          <w:r>
            <w:rPr>
              <w:rFonts w:hint="eastAsia" w:ascii="仿宋" w:hAnsi="仿宋" w:eastAsia="仿宋" w:cs="仿宋"/>
              <w:color w:val="auto"/>
              <w:sz w:val="22"/>
              <w:szCs w:val="22"/>
            </w:rPr>
            <w:t>（二）资金投入和使用情况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_Toc12972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"_Toc11784" </w:instrText>
          </w:r>
          <w:r>
            <w:rPr>
              <w:color w:val="auto"/>
            </w:rPr>
            <w:fldChar w:fldCharType="separate"/>
          </w:r>
          <w:r>
            <w:rPr>
              <w:rFonts w:hint="eastAsia" w:ascii="仿宋" w:hAnsi="仿宋" w:eastAsia="仿宋" w:cs="仿宋"/>
              <w:color w:val="auto"/>
              <w:sz w:val="22"/>
              <w:szCs w:val="22"/>
            </w:rPr>
            <w:t>（三）项目实施情况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_Toc11784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"_Toc1855" </w:instrText>
          </w:r>
          <w:r>
            <w:rPr>
              <w:color w:val="auto"/>
            </w:rPr>
            <w:fldChar w:fldCharType="separate"/>
          </w:r>
          <w:r>
            <w:rPr>
              <w:rFonts w:hint="eastAsia" w:ascii="仿宋" w:hAnsi="仿宋" w:eastAsia="仿宋" w:cs="仿宋"/>
              <w:color w:val="auto"/>
              <w:sz w:val="22"/>
              <w:szCs w:val="22"/>
            </w:rPr>
            <w:t>（四）项目组织管理</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_Toc1855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5</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"_Toc12841" </w:instrText>
          </w:r>
          <w:r>
            <w:rPr>
              <w:color w:val="auto"/>
            </w:rPr>
            <w:fldChar w:fldCharType="separate"/>
          </w:r>
          <w:r>
            <w:rPr>
              <w:rFonts w:hint="eastAsia" w:ascii="仿宋" w:hAnsi="仿宋" w:eastAsia="仿宋" w:cs="仿宋"/>
              <w:color w:val="auto"/>
              <w:sz w:val="22"/>
              <w:szCs w:val="22"/>
            </w:rPr>
            <w:t>二、项目绩效目标</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_Toc12841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5</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"_Toc1136" </w:instrText>
          </w:r>
          <w:r>
            <w:rPr>
              <w:color w:val="auto"/>
            </w:rPr>
            <w:fldChar w:fldCharType="separate"/>
          </w:r>
          <w:r>
            <w:rPr>
              <w:rFonts w:hint="eastAsia" w:ascii="仿宋" w:hAnsi="仿宋" w:eastAsia="仿宋" w:cs="仿宋"/>
              <w:color w:val="auto"/>
              <w:sz w:val="22"/>
              <w:szCs w:val="22"/>
            </w:rPr>
            <w:t>三、绩效评价工作开展情况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_Toc1136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6</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"_Toc28791" </w:instrText>
          </w:r>
          <w:r>
            <w:rPr>
              <w:color w:val="auto"/>
            </w:rPr>
            <w:fldChar w:fldCharType="separate"/>
          </w:r>
          <w:r>
            <w:rPr>
              <w:rFonts w:hint="eastAsia" w:ascii="仿宋" w:hAnsi="仿宋" w:eastAsia="仿宋" w:cs="仿宋"/>
              <w:color w:val="auto"/>
              <w:sz w:val="22"/>
              <w:szCs w:val="22"/>
            </w:rPr>
            <w:t>（一）绩效评价依据</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_Toc28791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6</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"_Toc12284" </w:instrText>
          </w:r>
          <w:r>
            <w:rPr>
              <w:color w:val="auto"/>
            </w:rPr>
            <w:fldChar w:fldCharType="separate"/>
          </w:r>
          <w:r>
            <w:rPr>
              <w:rFonts w:hint="eastAsia" w:ascii="仿宋" w:hAnsi="仿宋" w:eastAsia="仿宋" w:cs="仿宋"/>
              <w:color w:val="auto"/>
              <w:sz w:val="22"/>
              <w:szCs w:val="22"/>
            </w:rPr>
            <w:t>（二）绩效评价目的、对象和范围</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_Toc12284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6</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"_Toc8725" </w:instrText>
          </w:r>
          <w:r>
            <w:rPr>
              <w:color w:val="auto"/>
            </w:rPr>
            <w:fldChar w:fldCharType="separate"/>
          </w:r>
          <w:r>
            <w:rPr>
              <w:rFonts w:hint="eastAsia" w:ascii="仿宋" w:hAnsi="仿宋" w:eastAsia="仿宋" w:cs="仿宋"/>
              <w:color w:val="auto"/>
              <w:sz w:val="22"/>
              <w:szCs w:val="22"/>
            </w:rPr>
            <w:t>（三）绩效评价原则</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_Toc8725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7</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"_Toc18306" </w:instrText>
          </w:r>
          <w:r>
            <w:rPr>
              <w:color w:val="auto"/>
            </w:rPr>
            <w:fldChar w:fldCharType="separate"/>
          </w:r>
          <w:r>
            <w:rPr>
              <w:rFonts w:hint="eastAsia" w:ascii="仿宋" w:hAnsi="仿宋" w:eastAsia="仿宋" w:cs="仿宋"/>
              <w:color w:val="auto"/>
              <w:sz w:val="22"/>
              <w:szCs w:val="22"/>
            </w:rPr>
            <w:t>（四）绩效评价指标体系设计</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_Toc18306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8</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"_Toc31487" </w:instrText>
          </w:r>
          <w:r>
            <w:rPr>
              <w:color w:val="auto"/>
            </w:rPr>
            <w:fldChar w:fldCharType="separate"/>
          </w:r>
          <w:r>
            <w:rPr>
              <w:rFonts w:hint="eastAsia" w:ascii="仿宋" w:hAnsi="仿宋" w:eastAsia="仿宋" w:cs="仿宋"/>
              <w:color w:val="auto"/>
              <w:sz w:val="22"/>
              <w:szCs w:val="22"/>
            </w:rPr>
            <w:t>（五）绩效评价方法</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_Toc31487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10</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"_Toc28776" </w:instrText>
          </w:r>
          <w:r>
            <w:rPr>
              <w:color w:val="auto"/>
            </w:rPr>
            <w:fldChar w:fldCharType="separate"/>
          </w:r>
          <w:r>
            <w:rPr>
              <w:rFonts w:hint="eastAsia" w:ascii="仿宋" w:hAnsi="仿宋" w:eastAsia="仿宋" w:cs="仿宋"/>
              <w:color w:val="auto"/>
              <w:sz w:val="22"/>
              <w:szCs w:val="22"/>
            </w:rPr>
            <w:t>（六）绩效评价工作过程</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_Toc28776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10</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"_Toc12028" </w:instrText>
          </w:r>
          <w:r>
            <w:rPr>
              <w:color w:val="auto"/>
            </w:rPr>
            <w:fldChar w:fldCharType="separate"/>
          </w:r>
          <w:r>
            <w:rPr>
              <w:rFonts w:hint="eastAsia" w:ascii="仿宋" w:hAnsi="仿宋" w:eastAsia="仿宋" w:cs="仿宋"/>
              <w:color w:val="auto"/>
              <w:sz w:val="22"/>
              <w:szCs w:val="22"/>
            </w:rPr>
            <w:t>四、综合评价情况及评价结论</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_Toc12028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11</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"_Toc27529" </w:instrText>
          </w:r>
          <w:r>
            <w:rPr>
              <w:color w:val="auto"/>
            </w:rPr>
            <w:fldChar w:fldCharType="separate"/>
          </w:r>
          <w:r>
            <w:rPr>
              <w:rFonts w:hint="eastAsia" w:ascii="仿宋" w:hAnsi="仿宋" w:eastAsia="仿宋" w:cs="仿宋"/>
              <w:color w:val="auto"/>
              <w:sz w:val="22"/>
              <w:szCs w:val="22"/>
            </w:rPr>
            <w:t>（一）评价得分情况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_Toc27529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11</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"_Toc3835" </w:instrText>
          </w:r>
          <w:r>
            <w:rPr>
              <w:color w:val="auto"/>
            </w:rPr>
            <w:fldChar w:fldCharType="separate"/>
          </w:r>
          <w:r>
            <w:rPr>
              <w:rFonts w:hint="eastAsia" w:ascii="仿宋" w:hAnsi="仿宋" w:eastAsia="仿宋" w:cs="仿宋"/>
              <w:color w:val="auto"/>
              <w:sz w:val="22"/>
              <w:szCs w:val="22"/>
            </w:rPr>
            <w:t>（二）综合评价结论</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_Toc3835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12</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"_Toc5002" </w:instrText>
          </w:r>
          <w:r>
            <w:rPr>
              <w:color w:val="auto"/>
            </w:rPr>
            <w:fldChar w:fldCharType="separate"/>
          </w:r>
          <w:r>
            <w:rPr>
              <w:rFonts w:hint="eastAsia" w:ascii="仿宋" w:hAnsi="仿宋" w:eastAsia="仿宋" w:cs="仿宋"/>
              <w:color w:val="auto"/>
              <w:sz w:val="22"/>
              <w:szCs w:val="22"/>
            </w:rPr>
            <w:t>五、绩效评价指标分析</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_Toc5002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12</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"_Toc2714" </w:instrText>
          </w:r>
          <w:r>
            <w:rPr>
              <w:color w:val="auto"/>
            </w:rPr>
            <w:fldChar w:fldCharType="separate"/>
          </w:r>
          <w:r>
            <w:rPr>
              <w:rFonts w:hint="eastAsia" w:ascii="仿宋" w:hAnsi="仿宋" w:eastAsia="仿宋" w:cs="仿宋"/>
              <w:color w:val="auto"/>
              <w:sz w:val="22"/>
              <w:szCs w:val="22"/>
            </w:rPr>
            <w:t>（一）项目决策情况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_Toc2714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12</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"_Toc25310" </w:instrText>
          </w:r>
          <w:r>
            <w:rPr>
              <w:color w:val="auto"/>
            </w:rPr>
            <w:fldChar w:fldCharType="separate"/>
          </w:r>
          <w:r>
            <w:rPr>
              <w:rFonts w:hint="eastAsia" w:ascii="仿宋" w:hAnsi="仿宋" w:eastAsia="仿宋" w:cs="仿宋"/>
              <w:color w:val="auto"/>
              <w:sz w:val="22"/>
              <w:szCs w:val="22"/>
            </w:rPr>
            <w:t>（二）项目过程情况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_Toc25310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16</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"_Toc32426" </w:instrText>
          </w:r>
          <w:r>
            <w:rPr>
              <w:color w:val="auto"/>
            </w:rPr>
            <w:fldChar w:fldCharType="separate"/>
          </w:r>
          <w:r>
            <w:rPr>
              <w:rFonts w:hint="eastAsia" w:ascii="仿宋" w:hAnsi="仿宋" w:eastAsia="仿宋" w:cs="仿宋"/>
              <w:color w:val="auto"/>
              <w:sz w:val="22"/>
              <w:szCs w:val="22"/>
            </w:rPr>
            <w:t>（三）项目产出情况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_Toc32426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18</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"_Toc26285" </w:instrText>
          </w:r>
          <w:r>
            <w:rPr>
              <w:color w:val="auto"/>
            </w:rPr>
            <w:fldChar w:fldCharType="separate"/>
          </w:r>
          <w:r>
            <w:rPr>
              <w:rFonts w:hint="eastAsia" w:ascii="仿宋" w:hAnsi="仿宋" w:eastAsia="仿宋" w:cs="仿宋"/>
              <w:color w:val="auto"/>
              <w:sz w:val="22"/>
              <w:szCs w:val="22"/>
            </w:rPr>
            <w:t>（四）项目效益情况</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_Toc26285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21</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"_Toc16607" </w:instrText>
          </w:r>
          <w:r>
            <w:rPr>
              <w:color w:val="auto"/>
            </w:rPr>
            <w:fldChar w:fldCharType="separate"/>
          </w:r>
          <w:r>
            <w:rPr>
              <w:rFonts w:hint="eastAsia" w:ascii="仿宋" w:hAnsi="仿宋" w:eastAsia="仿宋" w:cs="仿宋"/>
              <w:color w:val="auto"/>
              <w:sz w:val="22"/>
              <w:szCs w:val="22"/>
            </w:rPr>
            <w:t>六、主要经验及做法、存在的问题及原因分析</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_Toc16607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23</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"_Toc28227" </w:instrText>
          </w:r>
          <w:r>
            <w:rPr>
              <w:color w:val="auto"/>
            </w:rPr>
            <w:fldChar w:fldCharType="separate"/>
          </w:r>
          <w:r>
            <w:rPr>
              <w:rFonts w:hint="eastAsia" w:ascii="仿宋" w:hAnsi="仿宋" w:eastAsia="仿宋" w:cs="仿宋"/>
              <w:color w:val="auto"/>
              <w:sz w:val="22"/>
              <w:szCs w:val="22"/>
            </w:rPr>
            <w:t>（一）主要经验及做法</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_Toc28227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23</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5"/>
            <w:pageBreakBefore w:val="0"/>
            <w:tabs>
              <w:tab w:val="right" w:leader="dot" w:pos="8306"/>
            </w:tabs>
            <w:kinsoku/>
            <w:wordWrap/>
            <w:overflowPunct/>
            <w:topLinePunct w:val="0"/>
            <w:autoSpaceDE/>
            <w:autoSpaceDN/>
            <w:bidi w:val="0"/>
            <w:snapToGrid w:val="0"/>
            <w:spacing w:before="0" w:after="0" w:line="360" w:lineRule="auto"/>
            <w:ind w:firstLine="360"/>
            <w:rPr>
              <w:rFonts w:ascii="仿宋" w:hAnsi="仿宋" w:eastAsia="仿宋" w:cs="仿宋"/>
              <w:color w:val="auto"/>
              <w:sz w:val="22"/>
              <w:szCs w:val="22"/>
            </w:rPr>
          </w:pPr>
          <w:r>
            <w:rPr>
              <w:color w:val="auto"/>
            </w:rPr>
            <w:fldChar w:fldCharType="begin"/>
          </w:r>
          <w:r>
            <w:rPr>
              <w:color w:val="auto"/>
            </w:rPr>
            <w:instrText xml:space="preserve"> HYPERLINK \l "_Toc6684" </w:instrText>
          </w:r>
          <w:r>
            <w:rPr>
              <w:color w:val="auto"/>
            </w:rPr>
            <w:fldChar w:fldCharType="separate"/>
          </w:r>
          <w:r>
            <w:rPr>
              <w:rFonts w:hint="eastAsia" w:ascii="仿宋" w:hAnsi="仿宋" w:eastAsia="仿宋" w:cs="仿宋"/>
              <w:color w:val="auto"/>
              <w:sz w:val="22"/>
              <w:szCs w:val="22"/>
            </w:rPr>
            <w:t>（二）存在的问题</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_Toc6684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23</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"_Toc692" </w:instrText>
          </w:r>
          <w:r>
            <w:rPr>
              <w:color w:val="auto"/>
            </w:rPr>
            <w:fldChar w:fldCharType="separate"/>
          </w:r>
          <w:r>
            <w:rPr>
              <w:rFonts w:hint="eastAsia" w:ascii="仿宋" w:hAnsi="仿宋" w:eastAsia="仿宋" w:cs="仿宋"/>
              <w:color w:val="auto"/>
              <w:sz w:val="22"/>
              <w:szCs w:val="22"/>
            </w:rPr>
            <w:t>七、有关建议</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_Toc692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24</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"_Toc11251" </w:instrText>
          </w:r>
          <w:r>
            <w:rPr>
              <w:color w:val="auto"/>
            </w:rPr>
            <w:fldChar w:fldCharType="separate"/>
          </w:r>
          <w:r>
            <w:rPr>
              <w:rFonts w:hint="eastAsia" w:ascii="仿宋" w:hAnsi="仿宋" w:eastAsia="仿宋" w:cs="仿宋"/>
              <w:color w:val="auto"/>
              <w:sz w:val="22"/>
              <w:szCs w:val="22"/>
            </w:rPr>
            <w:t>八、其他需要说明的问题</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_Toc11251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25</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"_Toc20690" </w:instrText>
          </w:r>
          <w:r>
            <w:rPr>
              <w:color w:val="auto"/>
            </w:rPr>
            <w:fldChar w:fldCharType="separate"/>
          </w:r>
          <w:r>
            <w:rPr>
              <w:rFonts w:hint="eastAsia" w:ascii="仿宋" w:hAnsi="仿宋" w:eastAsia="仿宋" w:cs="仿宋"/>
              <w:color w:val="auto"/>
              <w:sz w:val="22"/>
              <w:szCs w:val="22"/>
            </w:rPr>
            <w:t>附件1：绩效评价指标体系及综合评价表</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_Toc20690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26</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"_Toc25426" </w:instrText>
          </w:r>
          <w:r>
            <w:rPr>
              <w:color w:val="auto"/>
            </w:rPr>
            <w:fldChar w:fldCharType="separate"/>
          </w:r>
          <w:r>
            <w:rPr>
              <w:rFonts w:hint="eastAsia" w:ascii="仿宋" w:hAnsi="仿宋" w:eastAsia="仿宋" w:cs="仿宋"/>
              <w:color w:val="auto"/>
              <w:sz w:val="22"/>
              <w:szCs w:val="22"/>
            </w:rPr>
            <w:t>附件2：基础表</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_Toc25426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34</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"_Toc16301" </w:instrText>
          </w:r>
          <w:r>
            <w:rPr>
              <w:color w:val="auto"/>
            </w:rPr>
            <w:fldChar w:fldCharType="separate"/>
          </w:r>
          <w:r>
            <w:rPr>
              <w:rFonts w:hint="eastAsia" w:ascii="仿宋" w:hAnsi="仿宋" w:eastAsia="仿宋" w:cs="仿宋"/>
              <w:color w:val="auto"/>
              <w:sz w:val="22"/>
              <w:szCs w:val="22"/>
            </w:rPr>
            <w:t>附件3：问卷调查分析报告</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_Toc16301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37</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"_Toc27000" </w:instrText>
          </w:r>
          <w:r>
            <w:rPr>
              <w:color w:val="auto"/>
            </w:rPr>
            <w:fldChar w:fldCharType="separate"/>
          </w:r>
          <w:r>
            <w:rPr>
              <w:rFonts w:hint="eastAsia" w:ascii="仿宋" w:hAnsi="仿宋" w:eastAsia="仿宋" w:cs="仿宋"/>
              <w:color w:val="auto"/>
              <w:sz w:val="22"/>
              <w:szCs w:val="22"/>
            </w:rPr>
            <w:t>附件4：现场勘查照片</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_Toc27000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41</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Style w:val="14"/>
            <w:pageBreakBefore w:val="0"/>
            <w:tabs>
              <w:tab w:val="right" w:leader="dot" w:pos="8306"/>
              <w:tab w:val="clear" w:pos="9356"/>
            </w:tabs>
            <w:kinsoku/>
            <w:wordWrap/>
            <w:overflowPunct/>
            <w:topLinePunct w:val="0"/>
            <w:autoSpaceDE/>
            <w:autoSpaceDN/>
            <w:bidi w:val="0"/>
            <w:snapToGrid w:val="0"/>
            <w:spacing w:before="0" w:after="0" w:line="360" w:lineRule="auto"/>
            <w:rPr>
              <w:rFonts w:ascii="仿宋" w:hAnsi="仿宋" w:eastAsia="仿宋" w:cs="仿宋"/>
              <w:color w:val="auto"/>
              <w:sz w:val="22"/>
              <w:szCs w:val="22"/>
            </w:rPr>
          </w:pPr>
          <w:r>
            <w:rPr>
              <w:color w:val="auto"/>
            </w:rPr>
            <w:fldChar w:fldCharType="begin"/>
          </w:r>
          <w:r>
            <w:rPr>
              <w:color w:val="auto"/>
            </w:rPr>
            <w:instrText xml:space="preserve"> HYPERLINK \l "_Toc51" </w:instrText>
          </w:r>
          <w:r>
            <w:rPr>
              <w:color w:val="auto"/>
            </w:rPr>
            <w:fldChar w:fldCharType="separate"/>
          </w:r>
          <w:r>
            <w:rPr>
              <w:rFonts w:hint="eastAsia" w:ascii="仿宋" w:hAnsi="仿宋" w:eastAsia="仿宋" w:cs="仿宋"/>
              <w:color w:val="auto"/>
              <w:sz w:val="22"/>
              <w:szCs w:val="22"/>
            </w:rPr>
            <w:t>附件5：绩效评价工作沟通反馈结果</w:t>
          </w:r>
          <w:r>
            <w:rPr>
              <w:rFonts w:hint="eastAsia" w:ascii="仿宋" w:hAnsi="仿宋" w:eastAsia="仿宋" w:cs="仿宋"/>
              <w:color w:val="auto"/>
              <w:sz w:val="22"/>
              <w:szCs w:val="22"/>
            </w:rPr>
            <w:tab/>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PAGEREF _Toc51 \h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42</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fldChar w:fldCharType="end"/>
          </w:r>
        </w:p>
        <w:p>
          <w:pPr>
            <w:pageBreakBefore w:val="0"/>
            <w:kinsoku/>
            <w:wordWrap/>
            <w:overflowPunct/>
            <w:topLinePunct w:val="0"/>
            <w:autoSpaceDE/>
            <w:autoSpaceDN/>
            <w:bidi w:val="0"/>
            <w:snapToGrid w:val="0"/>
            <w:spacing w:before="0" w:after="0" w:line="360" w:lineRule="auto"/>
            <w:ind w:firstLine="0" w:firstLineChars="0"/>
            <w:rPr>
              <w:rFonts w:eastAsia="宋体"/>
              <w:color w:val="auto"/>
            </w:rPr>
          </w:pPr>
          <w:r>
            <w:rPr>
              <w:rFonts w:eastAsia="宋体"/>
              <w:b/>
              <w:color w:val="auto"/>
            </w:rPr>
            <w:fldChar w:fldCharType="end"/>
          </w:r>
        </w:p>
      </w:sdtContent>
    </w:sdt>
    <w:p>
      <w:pPr>
        <w:pageBreakBefore w:val="0"/>
        <w:kinsoku/>
        <w:wordWrap/>
        <w:overflowPunct/>
        <w:topLinePunct w:val="0"/>
        <w:autoSpaceDE/>
        <w:autoSpaceDN/>
        <w:bidi w:val="0"/>
        <w:snapToGrid w:val="0"/>
        <w:spacing w:before="0" w:after="0" w:line="360" w:lineRule="auto"/>
        <w:ind w:firstLine="0" w:firstLineChars="0"/>
        <w:rPr>
          <w:rFonts w:eastAsia="宋体"/>
          <w:color w:val="auto"/>
        </w:rPr>
        <w:sectPr>
          <w:footerReference r:id="rId11" w:type="default"/>
          <w:pgSz w:w="11906" w:h="16838"/>
          <w:pgMar w:top="1440" w:right="1800" w:bottom="1440" w:left="1800" w:header="851" w:footer="907" w:gutter="0"/>
          <w:pgNumType w:start="1"/>
          <w:cols w:space="425" w:num="1"/>
          <w:docGrid w:type="lines" w:linePitch="312" w:charSpace="0"/>
        </w:sectPr>
      </w:pPr>
    </w:p>
    <w:p>
      <w:pPr>
        <w:pageBreakBefore w:val="0"/>
        <w:kinsoku/>
        <w:wordWrap/>
        <w:overflowPunct/>
        <w:topLinePunct w:val="0"/>
        <w:autoSpaceDE/>
        <w:autoSpaceDN/>
        <w:bidi w:val="0"/>
        <w:snapToGrid w:val="0"/>
        <w:spacing w:before="0" w:after="0" w:line="360" w:lineRule="auto"/>
        <w:ind w:firstLine="0" w:firstLineChars="0"/>
        <w:rPr>
          <w:rFonts w:eastAsia="宋体"/>
          <w:color w:val="auto"/>
        </w:rPr>
      </w:pPr>
    </w:p>
    <w:p>
      <w:pPr>
        <w:pageBreakBefore w:val="0"/>
        <w:kinsoku/>
        <w:wordWrap/>
        <w:overflowPunct/>
        <w:topLinePunct w:val="0"/>
        <w:autoSpaceDE/>
        <w:autoSpaceDN/>
        <w:bidi w:val="0"/>
        <w:adjustRightInd/>
        <w:snapToGrid w:val="0"/>
        <w:spacing w:before="0" w:after="0" w:line="360" w:lineRule="auto"/>
        <w:ind w:left="-178" w:leftChars="-85" w:firstLine="0" w:firstLineChars="0"/>
        <w:jc w:val="center"/>
        <w:outlineLvl w:val="0"/>
        <w:rPr>
          <w:rFonts w:eastAsia="楷体_GB2312"/>
          <w:b/>
          <w:color w:val="auto"/>
          <w:sz w:val="48"/>
          <w:szCs w:val="48"/>
        </w:rPr>
      </w:pPr>
      <w:bookmarkStart w:id="7" w:name="_Toc17971"/>
      <w:bookmarkStart w:id="8" w:name="_Toc5622"/>
      <w:bookmarkStart w:id="9" w:name="_Toc26455"/>
      <w:bookmarkStart w:id="10" w:name="_Toc25378"/>
      <w:r>
        <w:rPr>
          <w:rFonts w:eastAsia="仿宋_GB2312"/>
          <w:b/>
          <w:color w:val="auto"/>
          <w:sz w:val="48"/>
          <w:szCs w:val="48"/>
        </w:rPr>
        <w:t>新疆驰远天合有限责任会计师事务所</w:t>
      </w:r>
      <w:bookmarkEnd w:id="7"/>
      <w:bookmarkEnd w:id="8"/>
      <w:bookmarkEnd w:id="9"/>
      <w:bookmarkEnd w:id="10"/>
    </w:p>
    <w:p>
      <w:pPr>
        <w:pageBreakBefore w:val="0"/>
        <w:kinsoku/>
        <w:wordWrap/>
        <w:overflowPunct/>
        <w:topLinePunct w:val="0"/>
        <w:autoSpaceDE/>
        <w:autoSpaceDN/>
        <w:bidi w:val="0"/>
        <w:adjustRightInd/>
        <w:snapToGrid w:val="0"/>
        <w:spacing w:before="0" w:after="0" w:line="360" w:lineRule="auto"/>
        <w:ind w:firstLine="0" w:firstLineChars="0"/>
        <w:jc w:val="center"/>
        <w:rPr>
          <w:rFonts w:eastAsia="宋体"/>
          <w:color w:val="auto"/>
          <w:sz w:val="24"/>
          <w:szCs w:val="24"/>
        </w:rPr>
      </w:pPr>
      <w:r>
        <w:rPr>
          <w:rFonts w:eastAsia="宋体"/>
          <w:color w:val="auto"/>
          <w:sz w:val="24"/>
          <w:szCs w:val="24"/>
        </w:rPr>
        <w:t>Xinjiang Chiyuantianhe Certified Public Accountants Co.,Ltd.</w:t>
      </w:r>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eastAsia="宋体"/>
          <w:color w:val="auto"/>
        </w:rPr>
      </w:pPr>
      <w:bookmarkStart w:id="11" w:name="_Toc23718"/>
      <w:bookmarkStart w:id="12" w:name="_Toc11722"/>
      <w:bookmarkStart w:id="13" w:name="_Toc21607"/>
      <w:bookmarkStart w:id="14" w:name="_Toc4177"/>
      <w:r>
        <w:rPr>
          <w:rFonts w:eastAsia="宋体"/>
          <w:b/>
          <w:color w:val="auto"/>
          <w:spacing w:val="66"/>
          <w:kern w:val="0"/>
          <w:sz w:val="44"/>
          <w:szCs w:val="44"/>
          <w:fitText w:val="3300" w:id="1424759405"/>
        </w:rPr>
        <w:t>绩效评价报</w:t>
      </w:r>
      <w:r>
        <w:rPr>
          <w:rFonts w:eastAsia="宋体"/>
          <w:b/>
          <w:color w:val="auto"/>
          <w:spacing w:val="0"/>
          <w:kern w:val="0"/>
          <w:sz w:val="44"/>
          <w:szCs w:val="44"/>
          <w:fitText w:val="3300" w:id="1424759405"/>
        </w:rPr>
        <w:t>告</w:t>
      </w:r>
      <w:bookmarkEnd w:id="11"/>
      <w:bookmarkEnd w:id="12"/>
      <w:bookmarkEnd w:id="13"/>
      <w:bookmarkEnd w:id="14"/>
    </w:p>
    <w:p>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eastAsia="宋体"/>
          <w:color w:val="auto"/>
        </w:rPr>
      </w:pPr>
      <w:bookmarkStart w:id="15" w:name="_Toc2662"/>
      <w:bookmarkStart w:id="16" w:name="_Toc29279"/>
      <w:bookmarkStart w:id="17" w:name="_Toc3967"/>
      <w:bookmarkStart w:id="18" w:name="_Toc22944"/>
      <w:r>
        <w:rPr>
          <w:rFonts w:eastAsia="宋体"/>
          <w:color w:val="auto"/>
        </w:rPr>
        <w:t>驰天会咨字</w:t>
      </w:r>
      <w:r>
        <w:rPr>
          <w:rFonts w:hint="eastAsia" w:ascii="宋体" w:hAnsi="宋体" w:eastAsia="宋体" w:cs="宋体"/>
          <w:color w:val="auto"/>
        </w:rPr>
        <w:t>﹝</w:t>
      </w:r>
      <w:r>
        <w:rPr>
          <w:rFonts w:eastAsia="黑体"/>
          <w:color w:val="auto"/>
        </w:rPr>
        <w:t>20</w:t>
      </w:r>
      <w:r>
        <w:rPr>
          <w:rFonts w:hint="eastAsia" w:eastAsia="黑体"/>
          <w:color w:val="auto"/>
          <w:lang w:val="en-US" w:eastAsia="zh-CN"/>
        </w:rPr>
        <w:t>25</w:t>
      </w:r>
      <w:r>
        <w:rPr>
          <w:rFonts w:hint="eastAsia" w:ascii="宋体" w:hAnsi="宋体" w:eastAsia="宋体" w:cs="宋体"/>
          <w:color w:val="auto"/>
          <w:lang w:val="en-US" w:eastAsia="zh-CN"/>
        </w:rPr>
        <w:t>﹞</w:t>
      </w:r>
      <w:r>
        <w:rPr>
          <w:rFonts w:eastAsia="宋体"/>
          <w:color w:val="auto"/>
        </w:rPr>
        <w:t>1-</w:t>
      </w:r>
      <w:r>
        <w:rPr>
          <w:rFonts w:hint="eastAsia" w:eastAsia="宋体"/>
          <w:color w:val="auto"/>
          <w:lang w:val="en-US" w:eastAsia="zh-CN"/>
        </w:rPr>
        <w:t>0128</w:t>
      </w:r>
      <w:r>
        <w:rPr>
          <w:rFonts w:eastAsia="宋体"/>
          <w:color w:val="auto"/>
        </w:rPr>
        <w:t>号</w:t>
      </w:r>
      <w:bookmarkEnd w:id="15"/>
      <w:bookmarkEnd w:id="16"/>
      <w:bookmarkEnd w:id="17"/>
      <w:bookmarkEnd w:id="18"/>
    </w:p>
    <w:p>
      <w:pPr>
        <w:pageBreakBefore w:val="0"/>
        <w:kinsoku/>
        <w:wordWrap/>
        <w:overflowPunct/>
        <w:topLinePunct w:val="0"/>
        <w:autoSpaceDE/>
        <w:autoSpaceDN/>
        <w:bidi w:val="0"/>
        <w:snapToGrid w:val="0"/>
        <w:spacing w:before="0" w:after="0" w:line="360" w:lineRule="auto"/>
        <w:ind w:left="0" w:leftChars="0" w:firstLine="0" w:firstLineChars="0"/>
        <w:rPr>
          <w:rFonts w:hint="default"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en-US" w:eastAsia="zh-CN"/>
        </w:rPr>
        <w:t>巴楚县自然资源局</w:t>
      </w:r>
      <w:r>
        <w:rPr>
          <w:rFonts w:hint="default" w:asciiTheme="minorEastAsia" w:hAnsiTheme="minorEastAsia" w:eastAsiaTheme="minorEastAsia" w:cstheme="minorEastAsia"/>
          <w:color w:val="auto"/>
          <w:lang w:val="zh-TW" w:eastAsia="zh-TW"/>
        </w:rPr>
        <w:t>：</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default" w:asciiTheme="minorEastAsia" w:hAnsiTheme="minorEastAsia" w:eastAsiaTheme="minorEastAsia" w:cstheme="minorEastAsia"/>
          <w:color w:val="auto"/>
          <w:lang w:val="zh-TW" w:eastAsia="zh-TW"/>
        </w:rPr>
        <w:t>为贯彻落实全面推进预算绩效管理工作的要求，完善部门预算管理，强化预算支出责任，提高财政资金的使用效益，根据《中共中央国务院关于全面实施预算绩效管理的意见》（中发〔2018〕34号）、《项目支出绩效评价管理办法》（财预〔2020〕10号）、《关于进一步加强和规范第三方机构参与预算绩效管理的通知》（新财预〔2021〕49号）等系列文件的要求，受</w:t>
      </w:r>
      <w:r>
        <w:rPr>
          <w:rFonts w:hint="eastAsia" w:asciiTheme="minorEastAsia" w:hAnsiTheme="minorEastAsia" w:eastAsiaTheme="minorEastAsia" w:cstheme="minorEastAsia"/>
          <w:color w:val="auto"/>
          <w:lang w:val="en-US" w:eastAsia="zh-CN"/>
        </w:rPr>
        <w:t>巴楚县财政局</w:t>
      </w:r>
      <w:r>
        <w:rPr>
          <w:rFonts w:hint="default" w:asciiTheme="minorEastAsia" w:hAnsiTheme="minorEastAsia" w:eastAsiaTheme="minorEastAsia" w:cstheme="minorEastAsia"/>
          <w:color w:val="auto"/>
          <w:lang w:val="zh-TW" w:eastAsia="zh-TW"/>
        </w:rPr>
        <w:t>的委托，新疆驰远天合有限责任会计师事务所以第三方社会评价机构的身份，承担了</w:t>
      </w:r>
      <w:r>
        <w:rPr>
          <w:rFonts w:hint="eastAsia" w:asciiTheme="minorEastAsia" w:hAnsiTheme="minorEastAsia" w:eastAsiaTheme="minorEastAsia" w:cstheme="minorEastAsia"/>
          <w:color w:val="auto"/>
          <w:lang w:val="en-US" w:eastAsia="zh-CN"/>
        </w:rPr>
        <w:t>2024年中央林业草原生态保护恢复资金（森林保护修复）项目</w:t>
      </w:r>
      <w:r>
        <w:rPr>
          <w:rFonts w:hint="default" w:asciiTheme="minorEastAsia" w:hAnsiTheme="minorEastAsia" w:eastAsiaTheme="minorEastAsia" w:cstheme="minorEastAsia"/>
          <w:color w:val="auto"/>
          <w:lang w:val="zh-TW" w:eastAsia="zh-TW"/>
        </w:rPr>
        <w:t>的绩效评价工作并形成绩效评价报告</w:t>
      </w:r>
      <w:r>
        <w:rPr>
          <w:rFonts w:hint="eastAsia" w:asciiTheme="minorEastAsia" w:hAnsiTheme="minorEastAsia" w:eastAsiaTheme="minorEastAsia" w:cstheme="minorEastAsia"/>
          <w:color w:val="auto"/>
          <w:lang w:val="en-US" w:eastAsia="zh-CN"/>
        </w:rPr>
        <w:t>巴楚县自然资源局</w:t>
      </w:r>
      <w:r>
        <w:rPr>
          <w:rFonts w:hint="default" w:asciiTheme="minorEastAsia" w:hAnsiTheme="minorEastAsia" w:eastAsiaTheme="minorEastAsia" w:cstheme="minorEastAsia"/>
          <w:color w:val="auto"/>
          <w:lang w:val="zh-TW" w:eastAsia="zh-TW"/>
        </w:rPr>
        <w:t>负责提供与本次绩效评价相关的项目资料并保证项目资料的真实、合法、准确和完整，现将项目绩效评价情况报告如下</w:t>
      </w:r>
      <w:r>
        <w:rPr>
          <w:rFonts w:hint="eastAsia" w:asciiTheme="minorEastAsia" w:hAnsiTheme="minorEastAsia" w:cstheme="minorEastAsia"/>
          <w:color w:val="auto"/>
          <w:lang w:val="zh-TW" w:eastAsia="zh-CN"/>
        </w:rPr>
        <w:t>。</w:t>
      </w:r>
    </w:p>
    <w:p>
      <w:pPr>
        <w:pStyle w:val="6"/>
        <w:pageBreakBefore w:val="0"/>
        <w:kinsoku/>
        <w:wordWrap/>
        <w:overflowPunct/>
        <w:topLinePunct w:val="0"/>
        <w:autoSpaceDE/>
        <w:autoSpaceDN/>
        <w:bidi w:val="0"/>
        <w:snapToGrid w:val="0"/>
        <w:spacing w:before="0" w:after="0" w:line="360" w:lineRule="auto"/>
        <w:ind w:firstLine="482"/>
        <w:rPr>
          <w:rFonts w:hint="eastAsia" w:ascii="Times New Roman" w:hAnsi="Times New Roman" w:eastAsiaTheme="minorEastAsia"/>
          <w:color w:val="auto"/>
          <w:lang w:eastAsia="zh-CN"/>
        </w:rPr>
      </w:pPr>
      <w:r>
        <w:rPr>
          <w:rFonts w:hint="eastAsia" w:ascii="Times New Roman" w:hAnsi="Times New Roman"/>
          <w:color w:val="auto"/>
          <w:lang w:val="en-US" w:eastAsia="zh-CN"/>
        </w:rPr>
        <w:t>一、基本情况</w:t>
      </w:r>
    </w:p>
    <w:p>
      <w:pPr>
        <w:pStyle w:val="6"/>
        <w:spacing w:before="0" w:after="0" w:line="360" w:lineRule="auto"/>
        <w:ind w:firstLine="667"/>
        <w:rPr>
          <w:rFonts w:hint="default" w:ascii="Times New Roman" w:hAnsi="Times New Roman" w:cs="Times New Roman"/>
          <w:color w:val="auto"/>
          <w:highlight w:val="none"/>
        </w:rPr>
      </w:pPr>
      <w:bookmarkStart w:id="19" w:name="_Toc327"/>
      <w:bookmarkStart w:id="20" w:name="_Toc5761"/>
      <w:bookmarkStart w:id="21" w:name="_Toc19237"/>
      <w:r>
        <w:rPr>
          <w:rFonts w:hint="default" w:ascii="Times New Roman" w:hAnsi="Times New Roman" w:cs="Times New Roman"/>
          <w:color w:val="auto"/>
          <w:highlight w:val="none"/>
        </w:rPr>
        <w:t>（一）</w:t>
      </w:r>
      <w:r>
        <w:rPr>
          <w:rFonts w:hint="default" w:ascii="Times New Roman" w:hAnsi="Times New Roman" w:cs="Times New Roman"/>
          <w:color w:val="auto"/>
          <w:highlight w:val="none"/>
          <w:lang w:val="en-US" w:eastAsia="zh-CN"/>
        </w:rPr>
        <w:t>项目概况</w:t>
      </w:r>
      <w:bookmarkEnd w:id="19"/>
      <w:bookmarkEnd w:id="20"/>
      <w:bookmarkEnd w:id="21"/>
    </w:p>
    <w:p>
      <w:pPr>
        <w:bidi w:val="0"/>
        <w:spacing w:before="0" w:after="0" w:line="360" w:lineRule="auto"/>
        <w:rPr>
          <w:rFonts w:hint="default"/>
          <w:b/>
          <w:bCs/>
          <w:color w:val="auto"/>
          <w:lang w:val="en-US" w:eastAsia="zh-CN"/>
        </w:rPr>
      </w:pPr>
      <w:r>
        <w:rPr>
          <w:rFonts w:hint="default"/>
          <w:b/>
          <w:bCs/>
          <w:color w:val="auto"/>
        </w:rPr>
        <w:t>1.</w:t>
      </w:r>
      <w:r>
        <w:rPr>
          <w:rFonts w:hint="default"/>
          <w:b/>
          <w:bCs/>
          <w:color w:val="auto"/>
          <w:lang w:val="en-US" w:eastAsia="zh-CN"/>
        </w:rPr>
        <w:t>项目立项背景及目的</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根据《中华人民共和国森林法》及财政部、国家林草局联合印发的《林业草原生态保护恢复资金管理办法》（财资环〔2024〕159号）相关规定，中央财政设立专项转移支付资金，重点支持天然林保护修复、森林生态系统质量提升等国家战略工程。2024年新修订的管理办法进一步优化资金使用结构，将原有分散管理的国有林管护、森林抚育等资金整合为森林保护修复补助，着力提高财政资金使用效益和政策协同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巴楚县作为南疆重要生态屏障区，地处塔克拉玛干沙漠生态脆弱带，当前面临森林生态系统退化、荒漠化防治压力大等突出问题。通过实施封山育林、退化林修复等系统性工程，可有效提升森林资源质量，增强区域生态服务功能。该项目实施符合党中央关于</w:t>
      </w:r>
      <w:r>
        <w:rPr>
          <w:rFonts w:hint="eastAsia" w:asciiTheme="minorEastAsia" w:hAnsiTheme="minorEastAsia" w:eastAsiaTheme="minorEastAsia" w:cstheme="minorEastAsia"/>
          <w:color w:val="auto"/>
          <w:lang w:val="zh-TW" w:eastAsia="zh-CN"/>
        </w:rPr>
        <w:t>“</w:t>
      </w:r>
      <w:r>
        <w:rPr>
          <w:rFonts w:hint="eastAsia" w:asciiTheme="minorEastAsia" w:hAnsiTheme="minorEastAsia" w:eastAsiaTheme="minorEastAsia" w:cstheme="minorEastAsia"/>
          <w:color w:val="auto"/>
          <w:lang w:val="zh-TW" w:eastAsia="zh-TW"/>
        </w:rPr>
        <w:t>统筹山水林田湖草沙系统治理</w:t>
      </w:r>
      <w:r>
        <w:rPr>
          <w:rFonts w:hint="eastAsia" w:asciiTheme="minorEastAsia" w:hAnsiTheme="minorEastAsia" w:eastAsiaTheme="minorEastAsia" w:cstheme="minorEastAsia"/>
          <w:color w:val="auto"/>
          <w:lang w:val="zh-TW" w:eastAsia="zh-CN"/>
        </w:rPr>
        <w:t>”</w:t>
      </w:r>
      <w:r>
        <w:rPr>
          <w:rFonts w:hint="eastAsia" w:asciiTheme="minorEastAsia" w:hAnsiTheme="minorEastAsia" w:eastAsiaTheme="minorEastAsia" w:cstheme="minorEastAsia"/>
          <w:color w:val="auto"/>
          <w:lang w:val="zh-TW" w:eastAsia="zh-TW"/>
        </w:rPr>
        <w:t>的决策部署，是落实《全国重要生态系统保护和修复重大工程总体规划》的具体实践。</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zh-TW" w:eastAsia="zh-TW"/>
        </w:rPr>
      </w:pPr>
      <w:r>
        <w:rPr>
          <w:rFonts w:hint="eastAsia" w:asciiTheme="minorEastAsia" w:hAnsiTheme="minorEastAsia" w:eastAsiaTheme="minorEastAsia" w:cstheme="minorEastAsia"/>
          <w:color w:val="auto"/>
          <w:lang w:val="zh-TW" w:eastAsia="zh-TW"/>
        </w:rPr>
        <w:t>该项目的实施，将有效提升区域生态系统的稳定性和可持续性，通过构建科学化、规范化的森林资源管理体系，全面加强森林火灾预防、有害生物防控等生态安全保障能力建设。同时可带动当地就业，促进生态保护与民生改善协调发展，对维护边疆地区社会稳定、铸牢中华民族共同体意识具有积极意义。</w:t>
      </w:r>
    </w:p>
    <w:p>
      <w:pPr>
        <w:bidi w:val="0"/>
        <w:spacing w:before="0" w:after="0" w:line="360" w:lineRule="auto"/>
        <w:rPr>
          <w:rFonts w:hint="default"/>
          <w:b/>
          <w:bCs/>
          <w:color w:val="auto"/>
          <w:lang w:val="en-US" w:eastAsia="zh-CN"/>
        </w:rPr>
      </w:pPr>
      <w:r>
        <w:rPr>
          <w:rFonts w:hint="default"/>
          <w:b/>
          <w:bCs/>
          <w:color w:val="auto"/>
          <w:lang w:val="en-US" w:eastAsia="zh-CN"/>
        </w:rPr>
        <w:t>2</w:t>
      </w:r>
      <w:r>
        <w:rPr>
          <w:rFonts w:hint="default"/>
          <w:b/>
          <w:bCs/>
          <w:color w:val="auto"/>
        </w:rPr>
        <w:t>.</w:t>
      </w:r>
      <w:r>
        <w:rPr>
          <w:rFonts w:hint="default"/>
          <w:b/>
          <w:bCs/>
          <w:color w:val="auto"/>
          <w:lang w:val="en-US" w:eastAsia="zh-CN"/>
        </w:rPr>
        <w:t>项目基本情况</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项目内容：聘用82名公益林管护员，对64.51万亩国家级公益林管护进行有效管护，开展2024年森林督查调查。通过该项目的建设，为当地居民提供稳定的就业机会，有效的管护工作确保森林资源的持续增值，为林业产业的长期发展奠定坚实基础，为当地乃至全国的森林资源保护与可持续发展做出重要贡献。</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管护员劳务报酬标准：管护员基本报酬：2</w:t>
      </w:r>
      <w:r>
        <w:rPr>
          <w:rFonts w:hint="eastAsia" w:asciiTheme="minorEastAsia" w:hAnsiTheme="minorEastAsia" w:cstheme="minorEastAsia"/>
          <w:color w:val="auto"/>
          <w:lang w:val="en-US" w:eastAsia="zh-CN"/>
        </w:rPr>
        <w:t>,</w:t>
      </w:r>
      <w:r>
        <w:rPr>
          <w:rFonts w:hint="eastAsia" w:asciiTheme="minorEastAsia" w:hAnsiTheme="minorEastAsia" w:eastAsiaTheme="minorEastAsia" w:cstheme="minorEastAsia"/>
          <w:color w:val="auto"/>
          <w:lang w:val="en-US" w:eastAsia="zh-CN"/>
        </w:rPr>
        <w:t>590.38元/人/月；监管员基本报酬：4</w:t>
      </w:r>
      <w:r>
        <w:rPr>
          <w:rFonts w:hint="eastAsia" w:asciiTheme="minorEastAsia" w:hAnsiTheme="minorEastAsia" w:cstheme="minorEastAsia"/>
          <w:color w:val="auto"/>
          <w:lang w:val="en-US" w:eastAsia="zh-CN"/>
        </w:rPr>
        <w:t>,</w:t>
      </w:r>
      <w:r>
        <w:rPr>
          <w:rFonts w:hint="eastAsia" w:asciiTheme="minorEastAsia" w:hAnsiTheme="minorEastAsia" w:eastAsiaTheme="minorEastAsia" w:cstheme="minorEastAsia"/>
          <w:color w:val="auto"/>
          <w:lang w:val="en-US" w:eastAsia="zh-CN"/>
        </w:rPr>
        <w:t>414.23元/人/月；绩效工资：400元/人/月；基本养老保险：800元/人/月；失业保险：25元/人/月；医疗保险：349元/人/月；工伤保险：20元/人/月；大额医疗保险：10元/人/月；人身意外伤害保险：400元/人/月；住房公积金支出：119元/人/月。</w:t>
      </w:r>
    </w:p>
    <w:p>
      <w:pPr>
        <w:pStyle w:val="6"/>
        <w:pageBreakBefore w:val="0"/>
        <w:kinsoku/>
        <w:wordWrap/>
        <w:overflowPunct/>
        <w:topLinePunct w:val="0"/>
        <w:autoSpaceDE/>
        <w:autoSpaceDN/>
        <w:bidi w:val="0"/>
        <w:snapToGrid w:val="0"/>
        <w:spacing w:before="0" w:after="0" w:line="360" w:lineRule="auto"/>
        <w:ind w:firstLine="482"/>
        <w:rPr>
          <w:color w:val="auto"/>
        </w:rPr>
      </w:pPr>
      <w:bookmarkStart w:id="22" w:name="_Toc12972"/>
      <w:r>
        <w:rPr>
          <w:rFonts w:hint="eastAsia"/>
          <w:color w:val="auto"/>
        </w:rPr>
        <w:t>（二）</w:t>
      </w:r>
      <w:r>
        <w:rPr>
          <w:color w:val="auto"/>
        </w:rPr>
        <w:t>资金投入和使用情况</w:t>
      </w:r>
      <w:bookmarkEnd w:id="22"/>
    </w:p>
    <w:p>
      <w:pPr>
        <w:bidi w:val="0"/>
        <w:spacing w:before="0" w:after="0" w:line="360" w:lineRule="auto"/>
        <w:rPr>
          <w:rFonts w:hint="eastAsia"/>
          <w:b/>
          <w:bCs/>
          <w:color w:val="auto"/>
        </w:rPr>
      </w:pPr>
      <w:r>
        <w:rPr>
          <w:rFonts w:hint="eastAsia"/>
          <w:b/>
          <w:bCs/>
          <w:color w:val="auto"/>
        </w:rPr>
        <w:t>1.预算安排情况</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根据《关于预告知2024年中央林业草原生态保护恢复资金的通知》（巴财建〔2023〕43号）、《关于提前下达2024年中央林业草原生态保护恢复资金的通知》（喀地财建〔2023〕105号），2023年12月7日，喀什地区财政局下达2024年中央林业草原生态保护恢复资金（森林保护修复）共计525万元，2023年12月9日，巴楚县财政局下达2024年中央林业草原生态保护恢复资金（森林保护修复）资金525万元，其中：安排中央专项资金，管护运行保障495万元，生态修复30万元。根据单位实际开展该项目的情况，仅对管护运行保障495万元工作内容进行绩效评价。</w:t>
      </w:r>
      <w:bookmarkStart w:id="23" w:name="_Toc11784"/>
    </w:p>
    <w:p>
      <w:pPr>
        <w:bidi w:val="0"/>
        <w:spacing w:before="0" w:after="0" w:line="360" w:lineRule="auto"/>
        <w:rPr>
          <w:rFonts w:hint="eastAsia"/>
          <w:b/>
          <w:bCs/>
          <w:color w:val="auto"/>
        </w:rPr>
      </w:pPr>
      <w:r>
        <w:rPr>
          <w:rFonts w:hint="eastAsia"/>
          <w:b/>
          <w:bCs/>
          <w:color w:val="auto"/>
          <w:lang w:val="en-US" w:eastAsia="zh-CN"/>
        </w:rPr>
        <w:t>2.</w:t>
      </w:r>
      <w:r>
        <w:rPr>
          <w:rFonts w:hint="eastAsia"/>
          <w:b/>
          <w:bCs/>
          <w:color w:val="auto"/>
        </w:rPr>
        <w:t>资金到位及使用情况</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根据《关于预告知2024年中央林业草原生态保护恢复资金的通知》（巴财建〔2023〕43号）及国库支付凭证等资料科长，项目实际到位资金495万元，资金到位率为100%。</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截至2024年12月31日，项目实际支出482.08万元，预算资金执行率97.39%，具体内容如下</w:t>
      </w:r>
      <w:r>
        <w:rPr>
          <w:rFonts w:hint="eastAsia" w:asciiTheme="minorEastAsia" w:hAnsiTheme="minorEastAsia" w:cstheme="minorEastAsia"/>
          <w:color w:val="auto"/>
          <w:lang w:val="en-US" w:eastAsia="zh-CN"/>
        </w:rPr>
        <w:t>。</w:t>
      </w:r>
    </w:p>
    <w:p>
      <w:pPr>
        <w:spacing w:line="240" w:lineRule="auto"/>
        <w:ind w:left="0" w:leftChars="0" w:firstLine="0" w:firstLineChars="0"/>
        <w:jc w:val="center"/>
        <w:rPr>
          <w:rFonts w:hint="eastAsia" w:ascii="Times New Roman" w:hAnsi="Times New Roman" w:cs="Times New Roman"/>
          <w:b/>
          <w:bCs/>
          <w:color w:val="auto"/>
          <w:highlight w:val="none"/>
          <w:lang w:val="en-US" w:eastAsia="zh-CN"/>
        </w:rPr>
      </w:pPr>
      <w:r>
        <w:rPr>
          <w:rFonts w:hint="eastAsia" w:ascii="Times New Roman" w:hAnsi="Times New Roman" w:cs="Times New Roman"/>
          <w:b/>
          <w:bCs/>
          <w:color w:val="auto"/>
          <w:highlight w:val="none"/>
          <w:lang w:val="en-US" w:eastAsia="zh-CN"/>
        </w:rPr>
        <w:t>表1-1：</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项目费用</w:t>
      </w:r>
      <w:r>
        <w:rPr>
          <w:rFonts w:hint="eastAsia" w:ascii="Times New Roman" w:hAnsi="Times New Roman" w:cs="Times New Roman"/>
          <w:b/>
          <w:bCs/>
          <w:color w:val="auto"/>
          <w:highlight w:val="none"/>
          <w:lang w:val="en-US" w:eastAsia="zh-CN"/>
        </w:rPr>
        <w:t>支出</w:t>
      </w:r>
      <w:r>
        <w:rPr>
          <w:rFonts w:hint="eastAsia" w:cs="Times New Roman"/>
          <w:b/>
          <w:bCs/>
          <w:color w:val="auto"/>
          <w:highlight w:val="none"/>
          <w:lang w:val="en-US" w:eastAsia="zh-CN"/>
        </w:rPr>
        <w:t>汇总</w:t>
      </w:r>
      <w:r>
        <w:rPr>
          <w:rFonts w:hint="eastAsia" w:ascii="Times New Roman" w:hAnsi="Times New Roman" w:cs="Times New Roman"/>
          <w:b/>
          <w:bCs/>
          <w:color w:val="auto"/>
          <w:highlight w:val="none"/>
          <w:lang w:val="en-US" w:eastAsia="zh-CN"/>
        </w:rPr>
        <w:t>表</w:t>
      </w:r>
    </w:p>
    <w:p>
      <w:pPr>
        <w:pStyle w:val="2"/>
        <w:spacing w:line="240" w:lineRule="auto"/>
        <w:rPr>
          <w:color w:val="auto"/>
        </w:rPr>
      </w:pPr>
    </w:p>
    <w:tbl>
      <w:tblPr>
        <w:tblStyle w:val="18"/>
        <w:tblW w:w="803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85" w:type="dxa"/>
          <w:bottom w:w="0" w:type="dxa"/>
          <w:right w:w="85" w:type="dxa"/>
        </w:tblCellMar>
      </w:tblPr>
      <w:tblGrid>
        <w:gridCol w:w="664"/>
        <w:gridCol w:w="2442"/>
        <w:gridCol w:w="1014"/>
        <w:gridCol w:w="1112"/>
        <w:gridCol w:w="1200"/>
        <w:gridCol w:w="16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费用名称</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19"/>
                <w:szCs w:val="19"/>
                <w:highlight w:val="none"/>
                <w:u w:val="none"/>
              </w:rPr>
            </w:pPr>
            <w:r>
              <w:rPr>
                <w:rFonts w:hint="eastAsia" w:ascii="宋体" w:hAnsi="宋体" w:eastAsia="宋体" w:cs="宋体"/>
                <w:b/>
                <w:bCs/>
                <w:i w:val="0"/>
                <w:iCs w:val="0"/>
                <w:color w:val="auto"/>
                <w:kern w:val="0"/>
                <w:sz w:val="19"/>
                <w:szCs w:val="19"/>
                <w:highlight w:val="none"/>
                <w:u w:val="none"/>
                <w:lang w:val="en-US" w:eastAsia="zh-CN" w:bidi="ar"/>
              </w:rPr>
              <w:t>计划金额</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0"/>
                <w:sz w:val="19"/>
                <w:szCs w:val="19"/>
                <w:highlight w:val="none"/>
                <w:u w:val="none"/>
                <w:lang w:bidi="ar"/>
              </w:rPr>
            </w:pPr>
            <w:r>
              <w:rPr>
                <w:rFonts w:hint="eastAsia" w:ascii="宋体" w:hAnsi="宋体" w:eastAsia="宋体" w:cs="宋体"/>
                <w:b/>
                <w:bCs/>
                <w:i w:val="0"/>
                <w:iCs w:val="0"/>
                <w:color w:val="auto"/>
                <w:kern w:val="0"/>
                <w:sz w:val="19"/>
                <w:szCs w:val="19"/>
                <w:highlight w:val="none"/>
                <w:u w:val="none"/>
                <w:lang w:val="en-US" w:eastAsia="zh-CN" w:bidi="ar"/>
              </w:rPr>
              <w:t>实际支付</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0"/>
                <w:sz w:val="19"/>
                <w:szCs w:val="19"/>
                <w:highlight w:val="none"/>
                <w:u w:val="none"/>
                <w:lang w:bidi="ar"/>
              </w:rPr>
            </w:pPr>
            <w:r>
              <w:rPr>
                <w:rFonts w:hint="eastAsia" w:ascii="宋体" w:hAnsi="宋体" w:eastAsia="宋体" w:cs="宋体"/>
                <w:b/>
                <w:bCs/>
                <w:i w:val="0"/>
                <w:iCs w:val="0"/>
                <w:color w:val="auto"/>
                <w:kern w:val="0"/>
                <w:sz w:val="19"/>
                <w:szCs w:val="19"/>
                <w:highlight w:val="none"/>
                <w:u w:val="none"/>
                <w:lang w:val="en-US" w:eastAsia="zh-CN" w:bidi="ar"/>
              </w:rPr>
              <w:t>资金执行率</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劳务报酬</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333.65</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332.09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99.53%</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16"/>
                <w:szCs w:val="16"/>
                <w:highlight w:val="none"/>
                <w:u w:val="none"/>
                <w:lang w:val="en-US" w:eastAsia="zh-CN" w:bidi="ar"/>
              </w:rPr>
              <w:t>具体内容于表1-1-1：巴楚县自然资源局2024年管护人员劳务支出明细表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社会保障支出</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121.75</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121.14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99.5%</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住房公积金支出</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11.72</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11.64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99.34%</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管护车辆费用</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3.42</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2.75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80.44%</w:t>
            </w:r>
          </w:p>
        </w:tc>
        <w:tc>
          <w:tcPr>
            <w:tcW w:w="160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16"/>
                <w:szCs w:val="16"/>
                <w:highlight w:val="none"/>
                <w:u w:val="none"/>
                <w:lang w:val="en-US" w:eastAsia="zh-CN" w:bidi="ar"/>
              </w:rPr>
              <w:t>具体内容于表1-1-2：巴楚县自然资源局2024年日常管护支出明细表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管护站运行费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vMerge w:val="continue"/>
            <w:tcBorders>
              <w:left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26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管护日常办公费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2.84</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2.84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vMerge w:val="continue"/>
            <w:tcBorders>
              <w:left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管护员培训费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0.82</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0.82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2"/>
                <w:sz w:val="20"/>
                <w:szCs w:val="20"/>
                <w:highlight w:val="none"/>
                <w:u w:val="none"/>
                <w:lang w:val="en-US" w:eastAsia="zh-CN" w:bidi="ar-SA"/>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2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2"/>
                <w:sz w:val="20"/>
                <w:szCs w:val="20"/>
                <w:highlight w:val="none"/>
                <w:u w:val="none"/>
                <w:lang w:val="en-US" w:eastAsia="zh-CN" w:bidi="ar-SA"/>
              </w:rPr>
            </w:pPr>
            <w:r>
              <w:rPr>
                <w:rFonts w:hint="eastAsia" w:ascii="宋体" w:hAnsi="宋体" w:eastAsia="宋体" w:cs="宋体"/>
                <w:b/>
                <w:bCs/>
                <w:i w:val="0"/>
                <w:iCs w:val="0"/>
                <w:color w:val="auto"/>
                <w:kern w:val="0"/>
                <w:sz w:val="20"/>
                <w:szCs w:val="20"/>
                <w:highlight w:val="none"/>
                <w:u w:val="none"/>
                <w:lang w:val="en-US" w:eastAsia="zh-CN" w:bidi="ar"/>
              </w:rPr>
              <w:t>费用名称</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2"/>
                <w:sz w:val="19"/>
                <w:szCs w:val="19"/>
                <w:highlight w:val="none"/>
                <w:u w:val="none"/>
                <w:lang w:val="en-US" w:eastAsia="zh-CN" w:bidi="ar-SA"/>
              </w:rPr>
            </w:pPr>
            <w:r>
              <w:rPr>
                <w:rFonts w:hint="eastAsia" w:ascii="宋体" w:hAnsi="宋体" w:eastAsia="宋体" w:cs="宋体"/>
                <w:b/>
                <w:bCs/>
                <w:i w:val="0"/>
                <w:iCs w:val="0"/>
                <w:color w:val="auto"/>
                <w:kern w:val="0"/>
                <w:sz w:val="19"/>
                <w:szCs w:val="19"/>
                <w:highlight w:val="none"/>
                <w:u w:val="none"/>
                <w:lang w:val="en-US" w:eastAsia="zh-CN" w:bidi="ar"/>
              </w:rPr>
              <w:t>计划金额</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0"/>
                <w:sz w:val="19"/>
                <w:szCs w:val="19"/>
                <w:highlight w:val="none"/>
                <w:u w:val="none"/>
                <w:lang w:val="en-US" w:eastAsia="zh-CN" w:bidi="ar"/>
              </w:rPr>
            </w:pPr>
            <w:r>
              <w:rPr>
                <w:rFonts w:hint="eastAsia" w:ascii="宋体" w:hAnsi="宋体" w:eastAsia="宋体" w:cs="宋体"/>
                <w:b/>
                <w:bCs/>
                <w:i w:val="0"/>
                <w:iCs w:val="0"/>
                <w:color w:val="auto"/>
                <w:kern w:val="0"/>
                <w:sz w:val="19"/>
                <w:szCs w:val="19"/>
                <w:highlight w:val="none"/>
                <w:u w:val="none"/>
                <w:lang w:val="en-US" w:eastAsia="zh-CN" w:bidi="ar"/>
              </w:rPr>
              <w:t>实际支付</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0"/>
                <w:sz w:val="19"/>
                <w:szCs w:val="19"/>
                <w:highlight w:val="none"/>
                <w:u w:val="none"/>
                <w:lang w:val="en-US" w:eastAsia="zh-CN" w:bidi="ar"/>
              </w:rPr>
            </w:pPr>
            <w:r>
              <w:rPr>
                <w:rFonts w:hint="eastAsia" w:ascii="宋体" w:hAnsi="宋体" w:eastAsia="宋体" w:cs="宋体"/>
                <w:b/>
                <w:bCs/>
                <w:i w:val="0"/>
                <w:iCs w:val="0"/>
                <w:color w:val="auto"/>
                <w:kern w:val="0"/>
                <w:sz w:val="19"/>
                <w:szCs w:val="19"/>
                <w:highlight w:val="none"/>
                <w:u w:val="none"/>
                <w:lang w:val="en-US" w:eastAsia="zh-CN" w:bidi="ar"/>
              </w:rPr>
              <w:t>资金执行率</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2"/>
                <w:sz w:val="20"/>
                <w:szCs w:val="20"/>
                <w:highlight w:val="none"/>
                <w:u w:val="none"/>
                <w:lang w:val="en-US" w:eastAsia="zh-CN" w:bidi="ar-SA"/>
              </w:rPr>
            </w:pPr>
            <w:r>
              <w:rPr>
                <w:rFonts w:hint="eastAsia" w:ascii="宋体" w:hAnsi="宋体" w:eastAsia="宋体" w:cs="宋体"/>
                <w:b/>
                <w:bCs/>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2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管护辅助设施费用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（宣传牌面更新印刷费）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2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2024年森林督查调查费用</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605" w:type="dxa"/>
            <w:tcBorders>
              <w:top w:val="nil"/>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31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合计</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495</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482.08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97.39%</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0"/>
                <w:szCs w:val="20"/>
                <w:highlight w:val="none"/>
                <w:u w:val="none"/>
              </w:rPr>
            </w:pPr>
          </w:p>
        </w:tc>
      </w:tr>
    </w:tbl>
    <w:p>
      <w:pPr>
        <w:bidi w:val="0"/>
        <w:spacing w:before="0" w:after="0" w:line="360" w:lineRule="auto"/>
        <w:rPr>
          <w:rFonts w:hint="default"/>
          <w:color w:val="auto"/>
          <w:lang w:val="en-US" w:eastAsia="zh-CN"/>
        </w:rPr>
      </w:pPr>
    </w:p>
    <w:p>
      <w:pPr>
        <w:pStyle w:val="6"/>
        <w:pageBreakBefore w:val="0"/>
        <w:kinsoku/>
        <w:wordWrap/>
        <w:overflowPunct/>
        <w:topLinePunct w:val="0"/>
        <w:autoSpaceDE/>
        <w:autoSpaceDN/>
        <w:bidi w:val="0"/>
        <w:snapToGrid w:val="0"/>
        <w:spacing w:before="0" w:after="0" w:line="360" w:lineRule="auto"/>
        <w:ind w:firstLine="482"/>
        <w:rPr>
          <w:color w:val="auto"/>
        </w:rPr>
      </w:pPr>
      <w:r>
        <w:rPr>
          <w:rFonts w:hint="eastAsia"/>
          <w:color w:val="auto"/>
        </w:rPr>
        <w:t>（三）</w:t>
      </w:r>
      <w:r>
        <w:rPr>
          <w:color w:val="auto"/>
        </w:rPr>
        <w:t>项目实施情况</w:t>
      </w:r>
      <w:bookmarkEnd w:id="23"/>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项目实施单位是喀什地区巴楚县自然资源局，主要负责编制和申请项目预算资金，根据需求办理采购相关手续，组织对项目开展内容的验收，并根据进度支付项目款项。</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巴楚县自然资源</w:t>
      </w:r>
      <w:r>
        <w:rPr>
          <w:rFonts w:hint="eastAsia" w:asciiTheme="minorEastAsia" w:hAnsiTheme="minorEastAsia" w:cstheme="minorEastAsia"/>
          <w:color w:val="auto"/>
          <w:lang w:val="en-US" w:eastAsia="zh-CN"/>
        </w:rPr>
        <w:t>局</w:t>
      </w:r>
      <w:r>
        <w:rPr>
          <w:rFonts w:hint="eastAsia" w:asciiTheme="minorEastAsia" w:hAnsiTheme="minorEastAsia" w:eastAsiaTheme="minorEastAsia" w:cstheme="minorEastAsia"/>
          <w:color w:val="auto"/>
          <w:lang w:val="en-US" w:eastAsia="zh-CN"/>
        </w:rPr>
        <w:t>、</w:t>
      </w:r>
      <w:r>
        <w:rPr>
          <w:rFonts w:hint="eastAsia" w:asciiTheme="minorEastAsia" w:hAnsiTheme="minorEastAsia" w:cstheme="minorEastAsia"/>
          <w:color w:val="auto"/>
          <w:lang w:val="en-US" w:eastAsia="zh-CN"/>
        </w:rPr>
        <w:t>巴楚县</w:t>
      </w:r>
      <w:r>
        <w:rPr>
          <w:rFonts w:hint="eastAsia" w:asciiTheme="minorEastAsia" w:hAnsiTheme="minorEastAsia" w:eastAsiaTheme="minorEastAsia" w:cstheme="minorEastAsia"/>
          <w:color w:val="auto"/>
          <w:lang w:val="en-US" w:eastAsia="zh-CN"/>
        </w:rPr>
        <w:t>财政</w:t>
      </w:r>
      <w:r>
        <w:rPr>
          <w:rFonts w:hint="eastAsia" w:asciiTheme="minorEastAsia" w:hAnsiTheme="minorEastAsia" w:cstheme="minorEastAsia"/>
          <w:color w:val="auto"/>
          <w:lang w:val="en-US" w:eastAsia="zh-CN"/>
        </w:rPr>
        <w:t>局等</w:t>
      </w:r>
      <w:r>
        <w:rPr>
          <w:rFonts w:hint="eastAsia" w:asciiTheme="minorEastAsia" w:hAnsiTheme="minorEastAsia" w:eastAsiaTheme="minorEastAsia" w:cstheme="minorEastAsia"/>
          <w:color w:val="auto"/>
          <w:lang w:val="en-US" w:eastAsia="zh-CN"/>
        </w:rPr>
        <w:t>部门加强对生态护林员工作的统筹指导、推进和督导落实，制定生态护林员选聘细则，审核、汇总选聘结果，相关单位聘职如下：巴楚县自然资源局负责制定生态护林员管理制度和实施方案，指导乡镇人民政府开展选聘及相关管理工作</w:t>
      </w:r>
      <w:r>
        <w:rPr>
          <w:rFonts w:hint="eastAsia" w:asciiTheme="minorEastAsia" w:hAnsiTheme="minorEastAsia" w:cstheme="minorEastAsia"/>
          <w:color w:val="auto"/>
          <w:lang w:val="en-US" w:eastAsia="zh-CN"/>
        </w:rPr>
        <w:t>；</w:t>
      </w:r>
      <w:r>
        <w:rPr>
          <w:rFonts w:hint="eastAsia" w:asciiTheme="minorEastAsia" w:hAnsiTheme="minorEastAsia" w:eastAsiaTheme="minorEastAsia" w:cstheme="minorEastAsia"/>
          <w:color w:val="auto"/>
          <w:lang w:val="en-US" w:eastAsia="zh-CN"/>
        </w:rPr>
        <w:t>巴楚县财政局负责生态护林员资金管理工作；巴楚县乡村振兴局负责生态护林员身份核定</w:t>
      </w:r>
      <w:r>
        <w:rPr>
          <w:rFonts w:hint="eastAsia" w:asciiTheme="minorEastAsia" w:hAnsiTheme="minorEastAsia" w:cstheme="minorEastAsia"/>
          <w:color w:val="auto"/>
          <w:lang w:val="en-US" w:eastAsia="zh-CN"/>
        </w:rPr>
        <w:t>；</w:t>
      </w:r>
      <w:r>
        <w:rPr>
          <w:rFonts w:hint="eastAsia" w:asciiTheme="minorEastAsia" w:hAnsiTheme="minorEastAsia" w:eastAsiaTheme="minorEastAsia" w:cstheme="minorEastAsia"/>
          <w:color w:val="auto"/>
          <w:lang w:val="en-US" w:eastAsia="zh-CN"/>
        </w:rPr>
        <w:t>乡镇人民政府（乡镇林业站）开展生态护林员选聘、培训、监督、考核，建立健全生态护林员管理档案，及时更新上报生态护林员动态变化情况，组织生态护林员按照管护劳务协议开展业务工作，加强生态护林员日常管理。</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项目其他利益关联单位：管护员，负责管护、监测、抚育管理、育苗，森林草原防灭火、造林及其他相关林业方面各项业务工作；国网新疆电力有限公司，负责供应各管护站用电；巴楚县净源农村供水有限公司，负责供应各管护站用电；中国电信股份有限公司喀什巴楚分公司，负责供应10个管护站安装一键报警器2023年度话费；中华联合财产保险股份有限公司巴楚县支公司，保障82名管护员财产保险承保与理赔服务；巴楚县鸿运广告部，负责宣传品广告制作等工作；巴楚县中业商贸有限公司，负责各乡镇公益林管护站S煤的采购；中国石油公司新疆销售有限公司喀什分公司巴楚县经营部，负责定点向巴楚县公务用车加油；新疆昊森工程科技有限公司，负责开展巴楚县2024年森林督查调查项目。</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该项目实施主体为巴楚县自然资源局，主要职能如下：</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①负责县林业和草原及其生态保护修复的监督管理；拟订县林业和草原发展战略、规划并组织实施和监督检查；组织开展县森林、草原、湿地、荒漠和陆生野生动植物资源的动态监测和评估。</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②组织县林业和草原生态保护修复及造林绿化工作；组织实施林业和草原重点生态保护修复工程，指导公益林和商品林的培育；指导、监督全民义务植树、城乡绿化工作；指导林业和草原有害生物防治、检疫工作；承担林业和草原应对气候变化的相关工作。</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③负责县森林、草原、湿地资源的监督管理；监督执行森林采伐限额；负责林地、草地管理，监督实施林地保护利用规划，指导国家级公益林划定和管理工作，管理国有林区的国有森林资源；负责草原禁牧、草畜平衡和草原生态修复治理工作，监督管理草原的开发利用；负责湿地生态保护修复工作，拟订湿地保护规划，监督管理湿地的开发利用。</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④负责组织、协调、监督管理县荒漠化防治工作；组织开展荒漠化调查，执行相关标准和技术规程并监督实施，监督管理沙化土地的开发利用。</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⑤负责县陆生野生动植物资源监督管理；组织开展陆生野生动植物资源调查，指导陆生野生动植物的救护繁育、栖息地恢复发展及野生动物疫源疫病监测、防控、应急处置；监督管理陆生野生动植物猎捕或采集、驯养繁殖或培植、经营利用，按分工监督管理野生动植物进出口。</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⑥负责监督管理县各类自然保护地；拟订各类自然保护地规划；负责国家公园、自然保护区、风景名胜区、自然遗产、自然遗迹、地质遗迹、古生物化石保护地、地质公园、森林公园等申报材料的初审并按程序上报；负责县直接行使所有权的自然保护地的自然资源资产管理和国土空间用途管制；提出新建、调整各类县级自然保护地的审核建议及报批，组织审核世界自然遗产的申报，会同有关部门审核世界自然与文化双重遗产的申报；负责生物多样性保护相关工作。</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⑦负责推进县林业和草原改革相关工作；拟订集体林权制度、国有林场、草原等重大改革意见并监督实施；拟订农村林业发展、维护林业经营者合法权益的政策措施，指导农村林地承包经营工作；依法开展退耕（牧）还林（草），负责天然林保护工作。</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⑧拟订林业和草原资源优化配置及木材利用政策；拟订相关林业产业地方标准并监督实施；组织、指导林产品质量监督；指导生态相关工作。</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⑨指导县国有林场基本建设和发展；组织林木种子、草种种质资源普查；指导建立种质资源库；负责良种选育推广，管理林木种苗、草种生产经营行为，监管林木种苗、草种质量；监督管理林业和草原生物种质资源、转基因生物安全、植物新品种保护。</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⑩负责林业和草原相关行政执法监管工作；指导林区和草原社会治安治理工作。</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⑪监督管理县林业和草原相关资金和国有资产，提出县林业和草原预算内投资、财政性资金安排建议，审核县规划内和年度计划内投资项目；贯彻执行中央、自治区、地区林业和草原经济调节政策，组织实施林业和草原生态补偿工作。</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⑫负责林业和草原科技、教育及外事工作，指导林业和草原人才队伍建设；组织实施林业和草原国际交流与合作事务；承担湿地、防治荒漠化等国际公约履约工作。</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⑬完成县委、县人民政府交办的其他任务。</w:t>
      </w:r>
    </w:p>
    <w:p>
      <w:pPr>
        <w:pageBreakBefore w:val="0"/>
        <w:kinsoku/>
        <w:wordWrap/>
        <w:overflowPunct/>
        <w:topLinePunct w:val="0"/>
        <w:autoSpaceDE/>
        <w:autoSpaceDN/>
        <w:bidi w:val="0"/>
        <w:snapToGrid w:val="0"/>
        <w:spacing w:before="0" w:after="0" w:line="360" w:lineRule="auto"/>
        <w:ind w:firstLine="420"/>
        <w:rPr>
          <w:rFonts w:hint="default"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⑭职能转变。县林业和草原局要切实加大生态系统保护力度，实施重要生态系统保护和修复工程，加强森林、草原、湿地监督管理的统筹协调，大力推进国土绿化，保障国家生态安全。加快建立以国家公园为主体的自然保护地体系，统一推进各类自然保护地的清理规范和归并整合。</w:t>
      </w:r>
    </w:p>
    <w:p>
      <w:pPr>
        <w:pStyle w:val="6"/>
        <w:pageBreakBefore w:val="0"/>
        <w:kinsoku/>
        <w:wordWrap/>
        <w:overflowPunct/>
        <w:topLinePunct w:val="0"/>
        <w:autoSpaceDE/>
        <w:autoSpaceDN/>
        <w:bidi w:val="0"/>
        <w:snapToGrid w:val="0"/>
        <w:spacing w:before="0" w:after="0" w:line="360" w:lineRule="auto"/>
        <w:ind w:firstLine="482"/>
        <w:rPr>
          <w:color w:val="auto"/>
        </w:rPr>
      </w:pPr>
      <w:bookmarkStart w:id="24" w:name="_Toc1855"/>
      <w:bookmarkStart w:id="25" w:name="_Toc68364659"/>
      <w:r>
        <w:rPr>
          <w:rFonts w:hint="eastAsia"/>
          <w:color w:val="auto"/>
        </w:rPr>
        <w:t>（四）</w:t>
      </w:r>
      <w:r>
        <w:rPr>
          <w:color w:val="auto"/>
        </w:rPr>
        <w:t>项目组织管理</w:t>
      </w:r>
      <w:bookmarkEnd w:id="24"/>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巴楚县自然资源局负责编制实施方案，指导巴楚县自然资源局下级三个管理站（即，巴楚县林业管理站、下河国有林管理局、夏马勒国有林管理局）开展该项目管理工作；喀什地区财政局、巴楚县财政局负责管护人员资金管理工作；巴楚县自然资源局，负责对新疆昊森工程科技有限公司提供的2024年度巴楚县森林资源检测数据（含遥感判读数据库、最新的第三次全国国土调查数据和森林资源管理“一张图”）建立数据审核机制，确保数据的真实性、完整性、有效性、可靠性和及时性；巴楚县林业管理站开展管护人员选聘、培训、监督、考核，建立健全管护人员管理档案，及时更新上报管护人员动态变化情况，组织管护员按照管护劳务协议开展业务工作，加强生态护林员日常管理。</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采购及日常运转方面：巴楚县自然资源局根据《关于巴楚县2024年中央林业草原生态保护恢复资金（森林保护修复）项目实施方案的批复》（喀地林发字〔2024〕40号）的批复内容，先向政府采购云系统提交项目采购计划书，再经巴楚县自然资源局党组会议研究通过，向县人民政府打申请，待审批通过，在政府采购云平台进行具体采购工作。</w:t>
      </w:r>
    </w:p>
    <w:p>
      <w:pPr>
        <w:pageBreakBefore w:val="0"/>
        <w:kinsoku/>
        <w:wordWrap/>
        <w:overflowPunct/>
        <w:topLinePunct w:val="0"/>
        <w:autoSpaceDE/>
        <w:autoSpaceDN/>
        <w:bidi w:val="0"/>
        <w:snapToGrid w:val="0"/>
        <w:spacing w:before="0" w:after="0" w:line="360" w:lineRule="auto"/>
        <w:ind w:firstLine="420"/>
        <w:rPr>
          <w:rFonts w:hint="default"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该项目管护人员补贴资金支付采用国库集中支付的方式，由巴楚县自然资源局向县人民政府提交补助资金申请报告，县政府审批通过后，再经财政核拨，由</w:t>
      </w:r>
      <w:r>
        <w:rPr>
          <w:rFonts w:hint="eastAsia" w:asciiTheme="minorEastAsia" w:hAnsiTheme="minorEastAsia" w:cstheme="minorEastAsia"/>
          <w:color w:val="auto"/>
          <w:lang w:val="en-US" w:eastAsia="zh-CN"/>
        </w:rPr>
        <w:t>巴楚</w:t>
      </w:r>
      <w:r>
        <w:rPr>
          <w:rFonts w:hint="eastAsia" w:asciiTheme="minorEastAsia" w:hAnsiTheme="minorEastAsia" w:eastAsiaTheme="minorEastAsia" w:cstheme="minorEastAsia"/>
          <w:color w:val="auto"/>
          <w:lang w:val="en-US" w:eastAsia="zh-CN"/>
        </w:rPr>
        <w:t>县财政局将补助资金拨款至巴楚县自然资源局代发户账户中，由巴楚县自然资源局按照公示无误的补贴名单进行打卡发放。</w:t>
      </w:r>
    </w:p>
    <w:p>
      <w:pPr>
        <w:pStyle w:val="5"/>
        <w:pageBreakBefore w:val="0"/>
        <w:kinsoku/>
        <w:wordWrap/>
        <w:overflowPunct/>
        <w:topLinePunct w:val="0"/>
        <w:autoSpaceDE/>
        <w:autoSpaceDN/>
        <w:bidi w:val="0"/>
        <w:snapToGrid w:val="0"/>
        <w:spacing w:before="0" w:after="0" w:line="360" w:lineRule="auto"/>
        <w:ind w:firstLine="482"/>
        <w:rPr>
          <w:color w:val="auto"/>
        </w:rPr>
      </w:pPr>
      <w:bookmarkStart w:id="26" w:name="_Toc12841"/>
      <w:r>
        <w:rPr>
          <w:rFonts w:hint="eastAsia"/>
          <w:color w:val="auto"/>
        </w:rPr>
        <w:t>二、</w:t>
      </w:r>
      <w:r>
        <w:rPr>
          <w:color w:val="auto"/>
        </w:rPr>
        <w:t>项目绩效目标</w:t>
      </w:r>
      <w:bookmarkEnd w:id="25"/>
      <w:bookmarkEnd w:id="26"/>
    </w:p>
    <w:p>
      <w:pPr>
        <w:pStyle w:val="6"/>
        <w:bidi w:val="0"/>
        <w:spacing w:before="0" w:after="0" w:line="360" w:lineRule="auto"/>
        <w:rPr>
          <w:color w:val="auto"/>
        </w:rPr>
      </w:pPr>
      <w:r>
        <w:rPr>
          <w:rFonts w:hint="eastAsia"/>
          <w:color w:val="auto"/>
        </w:rPr>
        <w:t>（一）</w:t>
      </w:r>
      <w:r>
        <w:rPr>
          <w:color w:val="auto"/>
        </w:rPr>
        <w:t>项目绩效总目标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项目主要计划完成82名生态护林员选聘（续聘）工作，对64.51万亩国家级公益林管护进行有效管护，开展2024年森林督查调查。通过该项目的建设，为当地居民提供稳定的就业机会，有效的管护工作确保森林资源的持续增值，为林业产业的长期发展奠定坚实基础，为当地乃至全国的森林资源保护与可持续发展</w:t>
      </w:r>
      <w:r>
        <w:rPr>
          <w:rFonts w:hint="eastAsia" w:asciiTheme="minorEastAsia" w:hAnsiTheme="minorEastAsia" w:cstheme="minorEastAsia"/>
          <w:color w:val="auto"/>
          <w:lang w:val="en-US" w:eastAsia="zh-CN"/>
        </w:rPr>
        <w:t>作</w:t>
      </w:r>
      <w:r>
        <w:rPr>
          <w:rFonts w:hint="eastAsia" w:asciiTheme="minorEastAsia" w:hAnsiTheme="minorEastAsia" w:eastAsiaTheme="minorEastAsia" w:cstheme="minorEastAsia"/>
          <w:color w:val="auto"/>
          <w:lang w:val="en-US" w:eastAsia="zh-CN"/>
        </w:rPr>
        <w:t>出重要贡献。</w:t>
      </w:r>
    </w:p>
    <w:p>
      <w:pPr>
        <w:pStyle w:val="6"/>
        <w:bidi w:val="0"/>
        <w:spacing w:before="0" w:after="0" w:line="360" w:lineRule="auto"/>
        <w:rPr>
          <w:color w:val="auto"/>
        </w:rPr>
      </w:pPr>
      <w:r>
        <w:rPr>
          <w:rFonts w:hint="eastAsia"/>
          <w:color w:val="auto"/>
        </w:rPr>
        <w:t>（二）年度绩效</w:t>
      </w:r>
      <w:r>
        <w:rPr>
          <w:color w:val="auto"/>
        </w:rPr>
        <w:t>目标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根据《项目支出绩效评价管理办法》（财预〔2020〕10号）的规定，绩效评价小组结合项目实际情况，对2024年中央林业草原生态保护恢复资金（森林保护修复）项目绩效目标进行梳理、细化和补充完善，将年度目标细化分解为个性指标，与文件下发的共性指标共同构成该项目三级指标体系，经与项目单位沟通后，最终确定该项目个性目标如下：</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1.项目产出目标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（1）数量指标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“C11国家级公益林管护面积”指标，预期指标值为大于等于64.51万亩。</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“C12保障国家级公益林管护人员（续聘）人数”指标，预期指标值为大于等于82人。</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“C13开展培训次数”指标，预期指标值为大于等于2次。</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“C14森林督查批次”指标，预期指标值为大于等于1批次。</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（2）质量指标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“C21培训出勤率”指标，预期指标值为等于100%。</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（3）时效指标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“C31补助资金发放及时率”指标，预期指标值为等于100%。</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（4）成本指标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“C41管护人员劳务支出”指标，预期指标值为小于等于467.12万元。</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“C42日常管护支出”指标，预期指标值为小于等于17.88万元。</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“C43森林督查费”指标，预期指标值为小于等于10万元。</w:t>
      </w:r>
    </w:p>
    <w:p>
      <w:pPr>
        <w:pageBreakBefore w:val="0"/>
        <w:kinsoku/>
        <w:wordWrap/>
        <w:overflowPunct/>
        <w:topLinePunct w:val="0"/>
        <w:autoSpaceDE/>
        <w:autoSpaceDN/>
        <w:bidi w:val="0"/>
        <w:snapToGrid w:val="0"/>
        <w:spacing w:before="0" w:after="0" w:line="360" w:lineRule="auto"/>
        <w:ind w:firstLine="422"/>
        <w:rPr>
          <w:b/>
          <w:color w:val="auto"/>
        </w:rPr>
      </w:pPr>
      <w:r>
        <w:rPr>
          <w:b/>
          <w:color w:val="auto"/>
        </w:rPr>
        <w:t>2.项目效益目标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（1）社会效益指标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“D11提高生态管护员森林资源管护水平”指标，预期指标值为有效提升。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“D12持续保障生态管护员基本生活需求”指标，预期指标值为持续保障。</w:t>
      </w:r>
    </w:p>
    <w:p>
      <w:pPr>
        <w:pageBreakBefore w:val="0"/>
        <w:kinsoku/>
        <w:wordWrap/>
        <w:overflowPunct/>
        <w:topLinePunct w:val="0"/>
        <w:autoSpaceDE/>
        <w:autoSpaceDN/>
        <w:bidi w:val="0"/>
        <w:snapToGrid w:val="0"/>
        <w:spacing w:before="0" w:after="0" w:line="360" w:lineRule="auto"/>
        <w:ind w:firstLine="420"/>
        <w:rPr>
          <w:color w:val="auto"/>
        </w:rPr>
      </w:pPr>
      <w:r>
        <w:rPr>
          <w:b/>
          <w:color w:val="auto"/>
        </w:rPr>
        <w:t>3.</w:t>
      </w:r>
      <w:r>
        <w:rPr>
          <w:b/>
          <w:color w:val="auto"/>
          <w:lang w:eastAsia="zh-Hans"/>
        </w:rPr>
        <w:t>满意度目标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r>
        <w:rPr>
          <w:rFonts w:hint="eastAsia" w:asciiTheme="minorEastAsia" w:hAnsiTheme="minorEastAsia" w:eastAsiaTheme="minorEastAsia" w:cstheme="minorEastAsia"/>
          <w:color w:val="auto"/>
          <w:lang w:val="en-US" w:eastAsia="zh-CN"/>
        </w:rPr>
        <w:t>（1）满意度指标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val="en-US" w:eastAsia="zh-CN"/>
        </w:rPr>
      </w:pPr>
      <w:bookmarkStart w:id="27" w:name="_Toc68364660"/>
      <w:bookmarkStart w:id="28" w:name="_Toc1136"/>
      <w:r>
        <w:rPr>
          <w:rFonts w:hint="eastAsia" w:asciiTheme="minorEastAsia" w:hAnsiTheme="minorEastAsia" w:eastAsiaTheme="minorEastAsia" w:cstheme="minorEastAsia"/>
          <w:color w:val="auto"/>
          <w:lang w:val="en-US" w:eastAsia="zh-CN"/>
        </w:rPr>
        <w:t>“D21受益生态护林员满意度”指标，预期指标值为大于等于95%。</w:t>
      </w:r>
    </w:p>
    <w:p>
      <w:pPr>
        <w:pStyle w:val="5"/>
        <w:pageBreakBefore w:val="0"/>
        <w:kinsoku/>
        <w:wordWrap/>
        <w:overflowPunct/>
        <w:topLinePunct w:val="0"/>
        <w:autoSpaceDE/>
        <w:autoSpaceDN/>
        <w:bidi w:val="0"/>
        <w:snapToGrid w:val="0"/>
        <w:spacing w:before="0" w:after="0" w:line="360" w:lineRule="auto"/>
        <w:ind w:firstLine="482"/>
        <w:rPr>
          <w:color w:val="auto"/>
        </w:rPr>
      </w:pPr>
      <w:r>
        <w:rPr>
          <w:rFonts w:hint="eastAsia"/>
          <w:color w:val="auto"/>
        </w:rPr>
        <w:t>三</w:t>
      </w:r>
      <w:r>
        <w:rPr>
          <w:color w:val="auto"/>
        </w:rPr>
        <w:t>、绩效评价工作开展情况</w:t>
      </w:r>
      <w:bookmarkEnd w:id="27"/>
      <w:bookmarkEnd w:id="28"/>
    </w:p>
    <w:p>
      <w:pPr>
        <w:pStyle w:val="6"/>
        <w:pageBreakBefore w:val="0"/>
        <w:kinsoku/>
        <w:wordWrap/>
        <w:overflowPunct/>
        <w:topLinePunct w:val="0"/>
        <w:autoSpaceDE/>
        <w:autoSpaceDN/>
        <w:bidi w:val="0"/>
        <w:snapToGrid w:val="0"/>
        <w:spacing w:before="0" w:after="0" w:line="360" w:lineRule="auto"/>
        <w:ind w:firstLine="482"/>
        <w:rPr>
          <w:color w:val="auto"/>
        </w:rPr>
      </w:pPr>
      <w:bookmarkStart w:id="29" w:name="_Toc27940"/>
      <w:bookmarkStart w:id="30" w:name="_Toc28791"/>
      <w:bookmarkStart w:id="31" w:name="_Toc68364661"/>
      <w:r>
        <w:rPr>
          <w:rFonts w:hint="eastAsia"/>
          <w:color w:val="auto"/>
        </w:rPr>
        <w:t>（一</w:t>
      </w:r>
      <w:r>
        <w:rPr>
          <w:color w:val="auto"/>
        </w:rPr>
        <w:t>）绩效评价</w:t>
      </w:r>
      <w:r>
        <w:rPr>
          <w:rFonts w:hint="eastAsia"/>
          <w:color w:val="auto"/>
        </w:rPr>
        <w:t>依据</w:t>
      </w:r>
      <w:bookmarkEnd w:id="29"/>
      <w:bookmarkEnd w:id="30"/>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bookmarkStart w:id="32" w:name="_Toc12284"/>
      <w:r>
        <w:rPr>
          <w:rFonts w:hint="default" w:ascii="Times New Roman" w:hAnsi="Times New Roman" w:cs="Times New Roman"/>
          <w:color w:val="auto"/>
          <w:highlight w:val="none"/>
        </w:rPr>
        <w:t>《中华人民共和国预算法》</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《中共中央国务院关于全面实施预算绩效管理的意见》（中发〔2018〕34号）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《项目支出绩效评价管理办法》（财预〔2020〕10号）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《自治区党委自治区人民政府关于全面实施预算绩效管理的实施意见》（新党发〔2018〕30号）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《自治区全面实施预算绩效管理的工作方案》（新财预〔2018〕158号）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《自治区财政支出绩效评价管理暂行办法》（新财预〔2018〕189号）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《关于委托第三方机构参与预算绩效管理的指导意见》（财预〔2021〕6号）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《财政部关于印发〈第三方机构预算绩效评价业务监督管理暂行办法〉的通知》（财监〔2021〕4号）</w:t>
      </w:r>
    </w:p>
    <w:p>
      <w:pPr>
        <w:pageBreakBefore w:val="0"/>
        <w:numPr>
          <w:ilvl w:val="0"/>
          <w:numId w:val="1"/>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《关于进一步加强和规范第三方机构参与预算绩效管理的通知》（新财预〔2021〕49号）</w:t>
      </w:r>
    </w:p>
    <w:p>
      <w:pPr>
        <w:pageBreakBefore w:val="0"/>
        <w:kinsoku/>
        <w:wordWrap/>
        <w:overflowPunct/>
        <w:topLinePunct w:val="0"/>
        <w:autoSpaceDE/>
        <w:autoSpaceDN/>
        <w:bidi w:val="0"/>
        <w:snapToGrid w:val="0"/>
        <w:spacing w:before="0" w:after="0" w:line="360" w:lineRule="auto"/>
        <w:ind w:firstLine="420"/>
        <w:rPr>
          <w:rFonts w:hint="eastAsia"/>
          <w:color w:val="auto"/>
        </w:rPr>
      </w:pPr>
      <w:r>
        <w:rPr>
          <w:rFonts w:hint="eastAsia"/>
          <w:color w:val="auto"/>
          <w:lang w:val="en-US" w:eastAsia="zh-CN"/>
        </w:rPr>
        <w:t>10.</w:t>
      </w:r>
      <w:r>
        <w:rPr>
          <w:rFonts w:hint="eastAsia"/>
          <w:color w:val="auto"/>
        </w:rPr>
        <w:t>《关于提前下达2024年中央林业草原生态保护恢复资金的通知》（喀地财建〔2023〕105号）</w:t>
      </w:r>
    </w:p>
    <w:p>
      <w:pPr>
        <w:pageBreakBefore w:val="0"/>
        <w:kinsoku/>
        <w:wordWrap/>
        <w:overflowPunct/>
        <w:topLinePunct w:val="0"/>
        <w:autoSpaceDE/>
        <w:autoSpaceDN/>
        <w:bidi w:val="0"/>
        <w:snapToGrid w:val="0"/>
        <w:spacing w:before="0" w:after="0" w:line="360" w:lineRule="auto"/>
        <w:ind w:firstLine="420"/>
        <w:rPr>
          <w:rFonts w:hint="eastAsia"/>
          <w:color w:val="auto"/>
        </w:rPr>
      </w:pPr>
      <w:r>
        <w:rPr>
          <w:rFonts w:hint="eastAsia"/>
          <w:color w:val="auto"/>
          <w:lang w:val="en-US" w:eastAsia="zh-CN"/>
        </w:rPr>
        <w:t>11</w:t>
      </w:r>
      <w:r>
        <w:rPr>
          <w:rFonts w:hint="eastAsia"/>
          <w:color w:val="auto"/>
        </w:rPr>
        <w:t>.《新疆维吾尔自治区巴楚县2024年中央财政林业原改革发展资金森林保护修复项目实施方案》</w:t>
      </w:r>
    </w:p>
    <w:p>
      <w:pPr>
        <w:pageBreakBefore w:val="0"/>
        <w:kinsoku/>
        <w:wordWrap/>
        <w:overflowPunct/>
        <w:topLinePunct w:val="0"/>
        <w:autoSpaceDE/>
        <w:autoSpaceDN/>
        <w:bidi w:val="0"/>
        <w:snapToGrid w:val="0"/>
        <w:spacing w:before="0" w:after="0" w:line="360" w:lineRule="auto"/>
        <w:ind w:firstLine="420"/>
        <w:rPr>
          <w:color w:val="auto"/>
        </w:rPr>
      </w:pPr>
      <w:r>
        <w:rPr>
          <w:rFonts w:hint="eastAsia"/>
          <w:color w:val="auto"/>
          <w:lang w:val="en-US" w:eastAsia="zh-CN"/>
        </w:rPr>
        <w:t>12</w:t>
      </w:r>
      <w:r>
        <w:rPr>
          <w:rFonts w:hint="eastAsia"/>
          <w:color w:val="auto"/>
        </w:rPr>
        <w:t>.《关于巴楚县2024年中央林业草原生态保护恢复资金（森林保护修复）项目实施方案的批复》（喀地林发字〔2024〕40号）</w:t>
      </w:r>
    </w:p>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r>
        <w:rPr>
          <w:rFonts w:ascii="Times New Roman" w:hAnsi="Times New Roman"/>
          <w:color w:val="auto"/>
        </w:rPr>
        <w:t>（</w:t>
      </w:r>
      <w:r>
        <w:rPr>
          <w:rFonts w:hint="eastAsia" w:ascii="Times New Roman" w:hAnsi="Times New Roman"/>
          <w:color w:val="auto"/>
        </w:rPr>
        <w:t>二</w:t>
      </w:r>
      <w:r>
        <w:rPr>
          <w:rFonts w:ascii="Times New Roman" w:hAnsi="Times New Roman"/>
          <w:color w:val="auto"/>
        </w:rPr>
        <w:t>）绩效评价目的、对象和范围</w:t>
      </w:r>
      <w:bookmarkEnd w:id="31"/>
      <w:bookmarkEnd w:id="32"/>
    </w:p>
    <w:p>
      <w:pPr>
        <w:spacing w:before="0" w:after="0" w:line="360" w:lineRule="auto"/>
        <w:ind w:firstLine="664"/>
        <w:rPr>
          <w:rFonts w:hint="eastAsia" w:asciiTheme="minorEastAsia" w:hAnsiTheme="minorEastAsia" w:eastAsiaTheme="minorEastAsia" w:cstheme="minorEastAsia"/>
          <w:b/>
          <w:bCs/>
          <w:color w:val="auto"/>
          <w:highlight w:val="none"/>
        </w:rPr>
      </w:pPr>
      <w:bookmarkStart w:id="33" w:name="_Toc68364662"/>
      <w:bookmarkStart w:id="34" w:name="_Toc8725"/>
      <w:r>
        <w:rPr>
          <w:rFonts w:hint="eastAsia" w:asciiTheme="minorEastAsia" w:hAnsiTheme="minorEastAsia" w:eastAsiaTheme="minorEastAsia" w:cstheme="minorEastAsia"/>
          <w:b/>
          <w:bCs/>
          <w:color w:val="auto"/>
          <w:highlight w:val="none"/>
        </w:rPr>
        <w:t>1.绩效评价目的</w:t>
      </w:r>
    </w:p>
    <w:p>
      <w:pPr>
        <w:spacing w:before="0" w:after="0" w:line="360" w:lineRule="auto"/>
        <w:ind w:firstLine="664"/>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本次</w:t>
      </w:r>
      <w:r>
        <w:rPr>
          <w:rFonts w:hint="eastAsia" w:asciiTheme="minorEastAsia" w:hAnsiTheme="minorEastAsia" w:eastAsiaTheme="minorEastAsia" w:cstheme="minorEastAsia"/>
          <w:color w:val="auto"/>
          <w:sz w:val="21"/>
          <w:szCs w:val="21"/>
          <w:highlight w:val="none"/>
        </w:rPr>
        <w:t>绩效评价的目的是为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w:t>
      </w:r>
    </w:p>
    <w:p>
      <w:pPr>
        <w:spacing w:before="0" w:after="0" w:line="360" w:lineRule="auto"/>
        <w:ind w:firstLine="664"/>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rPr>
        <w:t>2.绩效评价对象</w:t>
      </w:r>
      <w:r>
        <w:rPr>
          <w:rFonts w:hint="eastAsia" w:asciiTheme="minorEastAsia" w:hAnsiTheme="minorEastAsia" w:eastAsiaTheme="minorEastAsia" w:cstheme="minorEastAsia"/>
          <w:b/>
          <w:bCs/>
          <w:color w:val="auto"/>
          <w:highlight w:val="none"/>
          <w:lang w:val="en-US" w:eastAsia="zh-CN"/>
        </w:rPr>
        <w:t>及范围</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本次绩效评价的对象为2024年中央林业草原生态保护恢复资金（森林保护修复）项目，主要对该项目的决策情况、资金管理、使用情况、相关管理制度办法的健全性及执行情况、实现的产出情况、取得的效益情况以及其他相关内容。</w:t>
      </w:r>
    </w:p>
    <w:p>
      <w:pPr>
        <w:spacing w:before="0" w:after="0" w:line="360" w:lineRule="auto"/>
        <w:ind w:firstLine="664"/>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lang w:val="en-US" w:eastAsia="zh-CN"/>
        </w:rPr>
        <w:t>3.</w:t>
      </w:r>
      <w:r>
        <w:rPr>
          <w:rFonts w:hint="eastAsia" w:asciiTheme="minorEastAsia" w:hAnsiTheme="minorEastAsia" w:eastAsiaTheme="minorEastAsia" w:cstheme="minorEastAsia"/>
          <w:b/>
          <w:bCs/>
          <w:color w:val="auto"/>
          <w:highlight w:val="none"/>
        </w:rPr>
        <w:t>绩效评价时段</w:t>
      </w:r>
    </w:p>
    <w:p>
      <w:pPr>
        <w:spacing w:before="0" w:after="0" w:line="360" w:lineRule="auto"/>
        <w:ind w:firstLine="664"/>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21"/>
          <w:szCs w:val="21"/>
          <w:highlight w:val="none"/>
          <w:lang w:val="en-US" w:eastAsia="zh-CN"/>
        </w:rPr>
        <w:t>本次绩效评价评价时段为：</w:t>
      </w:r>
      <w:r>
        <w:rPr>
          <w:rFonts w:hint="eastAsia" w:asciiTheme="minorEastAsia" w:hAnsiTheme="minorEastAsia" w:cstheme="minorEastAsia"/>
          <w:color w:val="auto"/>
          <w:sz w:val="21"/>
          <w:szCs w:val="21"/>
          <w:highlight w:val="none"/>
          <w:lang w:val="en-US" w:eastAsia="zh-CN"/>
        </w:rPr>
        <w:t>2024年1月至2024年12月</w:t>
      </w:r>
      <w:r>
        <w:rPr>
          <w:rFonts w:hint="eastAsia" w:asciiTheme="minorEastAsia" w:hAnsiTheme="minorEastAsia" w:eastAsiaTheme="minorEastAsia" w:cstheme="minorEastAsia"/>
          <w:color w:val="auto"/>
          <w:sz w:val="21"/>
          <w:szCs w:val="21"/>
          <w:highlight w:val="none"/>
          <w:lang w:val="en-US" w:eastAsia="zh-CN"/>
        </w:rPr>
        <w:t>。</w:t>
      </w:r>
    </w:p>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r>
        <w:rPr>
          <w:rFonts w:ascii="Times New Roman" w:hAnsi="Times New Roman"/>
          <w:color w:val="auto"/>
        </w:rPr>
        <w:t>（</w:t>
      </w:r>
      <w:r>
        <w:rPr>
          <w:rFonts w:hint="eastAsia" w:ascii="Times New Roman" w:hAnsi="Times New Roman"/>
          <w:color w:val="auto"/>
        </w:rPr>
        <w:t>三</w:t>
      </w:r>
      <w:r>
        <w:rPr>
          <w:rFonts w:ascii="Times New Roman" w:hAnsi="Times New Roman"/>
          <w:color w:val="auto"/>
        </w:rPr>
        <w:t>）绩效评价原则</w:t>
      </w:r>
      <w:bookmarkEnd w:id="33"/>
      <w:bookmarkEnd w:id="34"/>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本次绩效评价遵循的原则包括：</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（1）独立性原则：在评价工作中保持充分的第三方独立性，不受其他第三方不当干预。</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（2）客观性原则：第三方机构应当按照协议（合同）约定事项开展绩效评价，以客观事实为依据，实事求是地向委托方提供服务。</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（3）科学性原则</w:t>
      </w:r>
      <w:r>
        <w:rPr>
          <w:rFonts w:hint="eastAsia" w:asciiTheme="minorEastAsia" w:hAnsi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eastAsia="zh-CN"/>
        </w:rPr>
        <w:t>第三方机构应当履行必要评价程序，对原始资料进行核查验证，选择一种或多种方法进行对比分析，形成结论并出具评价报告。</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（4）公正性原则：在评价过程中坚持公正、客观地反映实际情况，不隐瞒、弄虚作假。</w:t>
      </w:r>
    </w:p>
    <w:p>
      <w:pPr>
        <w:pStyle w:val="6"/>
        <w:pageBreakBefore w:val="0"/>
        <w:kinsoku/>
        <w:wordWrap/>
        <w:overflowPunct/>
        <w:topLinePunct w:val="0"/>
        <w:autoSpaceDE/>
        <w:autoSpaceDN/>
        <w:bidi w:val="0"/>
        <w:snapToGrid w:val="0"/>
        <w:spacing w:before="0" w:after="0" w:line="360" w:lineRule="auto"/>
        <w:ind w:firstLine="482"/>
        <w:rPr>
          <w:color w:val="auto"/>
        </w:rPr>
      </w:pPr>
      <w:r>
        <w:rPr>
          <w:rFonts w:hint="eastAsia"/>
          <w:color w:val="auto"/>
        </w:rPr>
        <w:t>（四）</w:t>
      </w:r>
      <w:r>
        <w:rPr>
          <w:color w:val="auto"/>
        </w:rPr>
        <w:t>绩效评价标准</w:t>
      </w:r>
    </w:p>
    <w:p>
      <w:pPr>
        <w:spacing w:before="0" w:after="0" w:line="360" w:lineRule="auto"/>
        <w:ind w:firstLine="420"/>
        <w:rPr>
          <w:color w:val="auto"/>
        </w:rPr>
      </w:pPr>
      <w:r>
        <w:rPr>
          <w:rFonts w:hint="eastAsia"/>
          <w:color w:val="auto"/>
        </w:rPr>
        <w:t>绩效评价标准通常包括计划标准、行</w:t>
      </w:r>
      <w:r>
        <w:rPr>
          <w:rFonts w:hint="eastAsia"/>
          <w:b w:val="0"/>
          <w:bCs w:val="0"/>
          <w:color w:val="auto"/>
        </w:rPr>
        <w:t>业标准、历史标准等。本次绩</w:t>
      </w:r>
      <w:r>
        <w:rPr>
          <w:rFonts w:hint="eastAsia" w:ascii="Times New Roman" w:hAnsi="Times New Roman" w:cs="Times New Roman"/>
          <w:color w:val="auto"/>
        </w:rPr>
        <w:t>效评价采用计划标准，本次绩效评价优先参照国家公布的行业指标数据制定的评价标准，无行业标准的以预先制定的目标、计划、预算、定额等作为评价标准，对比分析项目产出、效益的完成情况。</w:t>
      </w:r>
      <w:r>
        <w:rPr>
          <w:rFonts w:hint="eastAsia"/>
          <w:color w:val="auto"/>
        </w:rPr>
        <w:t>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Style w:val="6"/>
        <w:pageBreakBefore w:val="0"/>
        <w:kinsoku/>
        <w:wordWrap/>
        <w:overflowPunct/>
        <w:topLinePunct w:val="0"/>
        <w:autoSpaceDE/>
        <w:autoSpaceDN/>
        <w:bidi w:val="0"/>
        <w:snapToGrid w:val="0"/>
        <w:spacing w:before="0" w:after="0" w:line="360" w:lineRule="auto"/>
        <w:ind w:firstLine="482"/>
        <w:rPr>
          <w:color w:val="auto"/>
        </w:rPr>
      </w:pPr>
      <w:bookmarkStart w:id="35" w:name="_Toc18306"/>
      <w:r>
        <w:rPr>
          <w:rFonts w:hint="eastAsia"/>
          <w:color w:val="auto"/>
        </w:rPr>
        <w:t>（五）</w:t>
      </w:r>
      <w:r>
        <w:rPr>
          <w:color w:val="auto"/>
        </w:rPr>
        <w:t>绩效评价方法</w:t>
      </w:r>
    </w:p>
    <w:p>
      <w:pPr>
        <w:spacing w:before="0" w:after="0" w:line="360" w:lineRule="auto"/>
        <w:ind w:firstLine="420"/>
        <w:rPr>
          <w:rFonts w:hint="eastAsia"/>
          <w:color w:val="auto"/>
        </w:rPr>
      </w:pPr>
      <w:r>
        <w:rPr>
          <w:rFonts w:hint="eastAsia"/>
          <w:color w:val="auto"/>
        </w:rPr>
        <w:t>正确的评价方法是评价工作顺利开展的保障，在结合实际经验的情况下，绩效评价小组根据该项目资金的性质和特点，选用比较法、因素分析法</w:t>
      </w:r>
      <w:r>
        <w:rPr>
          <w:rFonts w:hint="eastAsia"/>
          <w:color w:val="auto"/>
          <w:lang w:eastAsia="zh-CN"/>
        </w:rPr>
        <w:t>、文献法</w:t>
      </w:r>
      <w:r>
        <w:rPr>
          <w:rFonts w:hint="eastAsia"/>
          <w:color w:val="auto"/>
          <w:lang w:val="en-US" w:eastAsia="zh-CN"/>
        </w:rPr>
        <w:t>以及</w:t>
      </w:r>
      <w:r>
        <w:rPr>
          <w:rFonts w:hint="eastAsia"/>
          <w:color w:val="auto"/>
        </w:rPr>
        <w:t>公众评判法对项目进行评价，旨在通过综合分析影响绩效目标实现、实施效果的内外部因素，从而评价该项目绩效。根据不同三级指标的类型进行逐项分析。</w:t>
      </w:r>
    </w:p>
    <w:p>
      <w:pPr>
        <w:spacing w:before="0" w:after="0" w:line="360" w:lineRule="auto"/>
        <w:ind w:firstLine="420"/>
        <w:rPr>
          <w:rFonts w:hint="eastAsia"/>
          <w:b/>
          <w:bCs/>
          <w:color w:val="auto"/>
        </w:rPr>
      </w:pPr>
      <w:r>
        <w:rPr>
          <w:rFonts w:hint="eastAsia"/>
          <w:b/>
          <w:bCs/>
          <w:color w:val="auto"/>
        </w:rPr>
        <w:t>（1）项目决策类指标评价方法</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立项依据充分性：比较法和文献法，查找法律法规政策以及规划，对比实际执行内容和政策支持内容是否匹配，分析立项依据充分性。</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立项程序规范性：比较法和文献法，查找相关项目设立的政策和文件要求，对比分析实际执行程序是否按照政策及文件要求执行，分析立项程序的规范性。</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绩效目标合理性：文献法和因素分析法，对比分析年初编制项目支出绩效目标表与项目内容的相关性、资金的匹配性等。</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预算编制科学性：比较法和因素分析法，项目预算编制是否经过科学论证、有明确标准，资金额度与年度目标是否相适应，用以反映和考核项目预算编制的科学性、合理性情况。</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资金分配合理性：因素分析法，综合分析资金的分配依据是否充分，分配金额是否与项目实施单位需求金额一致。</w:t>
      </w:r>
    </w:p>
    <w:p>
      <w:pPr>
        <w:spacing w:before="0" w:after="0" w:line="360" w:lineRule="auto"/>
        <w:ind w:firstLine="420"/>
        <w:rPr>
          <w:rFonts w:hint="eastAsia"/>
          <w:b/>
          <w:bCs/>
          <w:color w:val="auto"/>
        </w:rPr>
      </w:pPr>
      <w:r>
        <w:rPr>
          <w:rFonts w:hint="eastAsia"/>
          <w:b/>
          <w:bCs/>
          <w:color w:val="auto"/>
        </w:rPr>
        <w:t>（2）项目过程类指标评价方法</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资金到位率：比较法和因素分析法，项目是否完成且资金到位数满足年度预算规模需求；项目尚未完成，分析实际完成值和预期指标值之间的差距和原因。</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预算执行率：比较法和因素分析法，项目是否完成且执行数控制在年度预算规模之内的；项目尚未完成，并分析实际完成值和预期指标值之间的差距和原因。</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资金使用合规性：比较法、文献法和因素分析法等，通过实地调研，检查项目资金使用情况，对比专项资金管理办法要求，分析资金使用合规性。</w:t>
      </w:r>
    </w:p>
    <w:p>
      <w:pPr>
        <w:spacing w:before="0" w:after="0" w:line="360" w:lineRule="auto"/>
        <w:ind w:firstLine="664"/>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管理制度健全性：比较法和因素分析法，通过单位提供的内控制度，对比《中央对地方专项转移支付绩效目标管理办法》，查验管理制度是否健全，分析项目管理办法是否合法、合规、完整。</w:t>
      </w:r>
    </w:p>
    <w:p>
      <w:pPr>
        <w:spacing w:before="0" w:after="0" w:line="360" w:lineRule="auto"/>
        <w:ind w:firstLine="664"/>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制度执行有效性：比较法、文献法和因素分析法等，项通过查阅项目实施资料，根据《关于巴楚县2024年中央林业草原生态保护恢复资金（森林保护修复）项目实施方案的批复》（喀地林发字〔2024〕40号）</w:t>
      </w:r>
      <w:r>
        <w:rPr>
          <w:rFonts w:hint="eastAsia" w:asciiTheme="minorEastAsia" w:hAnsi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lang w:val="en-US" w:eastAsia="zh-CN"/>
        </w:rPr>
        <w:t>《新疆维吾尔自治区巴楚县2024年中央财政林业草原改革发展资金森林保护修复项目实施方案》以及相关管理办法等规定，检查项目开展程序是否符合上述文件的规定，分析制度执行有效性。</w:t>
      </w:r>
    </w:p>
    <w:p>
      <w:pPr>
        <w:spacing w:before="0" w:after="0" w:line="360" w:lineRule="auto"/>
        <w:ind w:firstLine="420"/>
        <w:rPr>
          <w:rFonts w:hint="eastAsia"/>
          <w:b/>
          <w:bCs/>
          <w:color w:val="auto"/>
        </w:rPr>
      </w:pPr>
      <w:r>
        <w:rPr>
          <w:rFonts w:hint="eastAsia"/>
          <w:b/>
          <w:bCs/>
          <w:color w:val="auto"/>
        </w:rPr>
        <w:t>（3）项目产出类指标评价方法</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项目产出类指标主要采用比较法和因素分析法，通过对比实际完成值和预期指标值，综合分析影响绩效目标实现的内外部因素。</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①比较法：对比国家级公益林管护面积‌在年初计划及年末实际管护面积，评估2024年管护覆盖面；对比续聘人数‌、培训次数‌、森林督查批次等量化指标与预期目标值，分析偏差原因。</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default" w:asciiTheme="minorEastAsia" w:hAnsiTheme="minorEastAsia" w:eastAsiaTheme="minorEastAsia" w:cstheme="minorEastAsia"/>
          <w:color w:val="auto"/>
          <w:sz w:val="21"/>
          <w:szCs w:val="21"/>
          <w:highlight w:val="none"/>
          <w:lang w:val="en-US" w:eastAsia="zh-CN"/>
        </w:rPr>
        <w:t>②</w:t>
      </w:r>
      <w:r>
        <w:rPr>
          <w:rFonts w:hint="eastAsia" w:asciiTheme="minorEastAsia" w:hAnsiTheme="minorEastAsia" w:eastAsiaTheme="minorEastAsia" w:cstheme="minorEastAsia"/>
          <w:color w:val="auto"/>
          <w:sz w:val="21"/>
          <w:szCs w:val="21"/>
          <w:highlight w:val="none"/>
          <w:lang w:val="en-US" w:eastAsia="zh-CN"/>
        </w:rPr>
        <w:t>‌因素法‌：分析影响培训出勤率‌的关键因素，如培训内容、时间等；探究‌补助资金发放及时率‌的影响因素，确保资金到位效率；评估管护人员劳务支出‌、日常管护支出‌、森林督查费‌的合理性，优化资源配置。</w:t>
      </w:r>
    </w:p>
    <w:p>
      <w:pPr>
        <w:spacing w:before="0" w:after="0" w:line="360" w:lineRule="auto"/>
        <w:ind w:firstLine="420"/>
        <w:rPr>
          <w:rFonts w:hint="eastAsia"/>
          <w:b/>
          <w:bCs/>
          <w:color w:val="auto"/>
        </w:rPr>
      </w:pPr>
      <w:r>
        <w:rPr>
          <w:rFonts w:hint="eastAsia"/>
          <w:b/>
          <w:bCs/>
          <w:color w:val="auto"/>
        </w:rPr>
        <w:t>（4）项目效益类指标评价方法</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项目效益类指标主要采用公众评判法，辅以文献法、比较法和因素分析法，通过问卷及抽样调查等方式评价该项目实施后社会公众对于其实施效果的满意程度。</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①公众评判法：通过村民满意度问卷评估提高生态管护员森林资源管护水平、持续保障生态管护员基本生活需求和受益生态护林员满意度等主观效益。</w:t>
      </w:r>
    </w:p>
    <w:p>
      <w:pPr>
        <w:pStyle w:val="6"/>
        <w:pageBreakBefore w:val="0"/>
        <w:kinsoku/>
        <w:wordWrap/>
        <w:overflowPunct/>
        <w:topLinePunct w:val="0"/>
        <w:autoSpaceDE/>
        <w:autoSpaceDN/>
        <w:bidi w:val="0"/>
        <w:snapToGrid w:val="0"/>
        <w:spacing w:before="0" w:after="0" w:line="360" w:lineRule="auto"/>
        <w:ind w:firstLine="482"/>
        <w:rPr>
          <w:rFonts w:hint="eastAsia"/>
          <w:color w:val="auto"/>
        </w:rPr>
      </w:pPr>
      <w:r>
        <w:rPr>
          <w:rFonts w:hint="eastAsia"/>
          <w:color w:val="auto"/>
        </w:rPr>
        <w:t>（</w:t>
      </w:r>
      <w:r>
        <w:rPr>
          <w:rFonts w:hint="eastAsia"/>
          <w:color w:val="auto"/>
          <w:lang w:val="en-US" w:eastAsia="zh-CN"/>
        </w:rPr>
        <w:t>六</w:t>
      </w:r>
      <w:r>
        <w:rPr>
          <w:rFonts w:hint="eastAsia"/>
          <w:color w:val="auto"/>
        </w:rPr>
        <w:t>）绩效评价指标体系设计</w:t>
      </w:r>
      <w:bookmarkEnd w:id="35"/>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bookmarkStart w:id="36" w:name="_Toc68364663"/>
      <w:r>
        <w:rPr>
          <w:rFonts w:hint="eastAsia" w:asciiTheme="minorEastAsia" w:hAnsiTheme="minorEastAsia" w:eastAsiaTheme="minorEastAsia" w:cstheme="minorEastAsia"/>
          <w:color w:val="auto"/>
          <w:sz w:val="21"/>
          <w:szCs w:val="21"/>
          <w:highlight w:val="none"/>
          <w:lang w:val="zh-TW" w:eastAsia="zh-TW"/>
        </w:rPr>
        <w:t>本次绩效评价指标体系设置分为共性指标体系部分和个性指标体系部分，其中共性指标部分，参照 《项目支出绩效评价管理办法》（财预〔2020〕10号）指导绩效评价体系设置；个性指标部分，绩效评价小组根据</w:t>
      </w:r>
      <w:r>
        <w:rPr>
          <w:rFonts w:hint="eastAsia" w:asciiTheme="minorEastAsia" w:hAnsiTheme="minorEastAsia" w:eastAsiaTheme="minorEastAsia" w:cstheme="minorEastAsia"/>
          <w:color w:val="auto"/>
          <w:sz w:val="21"/>
          <w:szCs w:val="21"/>
          <w:highlight w:val="none"/>
          <w:lang w:val="en-US" w:eastAsia="zh-CN"/>
        </w:rPr>
        <w:t>管护员</w:t>
      </w:r>
      <w:r>
        <w:rPr>
          <w:rFonts w:hint="eastAsia" w:asciiTheme="minorEastAsia" w:hAnsiTheme="minorEastAsia" w:eastAsiaTheme="minorEastAsia" w:cstheme="minorEastAsia"/>
          <w:color w:val="auto"/>
          <w:sz w:val="21"/>
          <w:szCs w:val="21"/>
          <w:highlight w:val="none"/>
          <w:lang w:val="zh-TW" w:eastAsia="zh-TW"/>
        </w:rPr>
        <w:t>补贴政策要求，结合</w:t>
      </w:r>
      <w:r>
        <w:rPr>
          <w:rFonts w:hint="eastAsia" w:asciiTheme="minorEastAsia" w:hAnsiTheme="minorEastAsia" w:eastAsiaTheme="minorEastAsia" w:cstheme="minorEastAsia"/>
          <w:color w:val="auto"/>
          <w:sz w:val="21"/>
          <w:szCs w:val="21"/>
          <w:highlight w:val="none"/>
          <w:lang w:val="en-US" w:eastAsia="zh-CN"/>
        </w:rPr>
        <w:t>巴楚县林业和草原局</w:t>
      </w:r>
      <w:r>
        <w:rPr>
          <w:rFonts w:hint="eastAsia" w:asciiTheme="minorEastAsia" w:hAnsiTheme="minorEastAsia" w:eastAsiaTheme="minorEastAsia" w:cstheme="minorEastAsia"/>
          <w:color w:val="auto"/>
          <w:sz w:val="21"/>
          <w:szCs w:val="21"/>
          <w:highlight w:val="none"/>
          <w:lang w:val="zh-TW" w:eastAsia="zh-TW"/>
        </w:rPr>
        <w:t>下发的《新疆维吾尔自治区巴楚县2024年中央财政林业原改革发展资金</w:t>
      </w:r>
      <w:r>
        <w:rPr>
          <w:rFonts w:hint="eastAsia" w:asciiTheme="minorEastAsia" w:hAnsiTheme="minorEastAsia" w:eastAsiaTheme="minorEastAsia" w:cstheme="minorEastAsia"/>
          <w:color w:val="auto"/>
          <w:sz w:val="21"/>
          <w:szCs w:val="21"/>
          <w:highlight w:val="none"/>
          <w:lang w:val="en-US" w:eastAsia="zh-CN"/>
        </w:rPr>
        <w:t>（森林保护修复）</w:t>
      </w:r>
      <w:r>
        <w:rPr>
          <w:rFonts w:hint="eastAsia" w:asciiTheme="minorEastAsia" w:hAnsiTheme="minorEastAsia" w:eastAsiaTheme="minorEastAsia" w:cstheme="minorEastAsia"/>
          <w:color w:val="auto"/>
          <w:sz w:val="21"/>
          <w:szCs w:val="21"/>
          <w:highlight w:val="none"/>
          <w:lang w:val="zh-TW" w:eastAsia="zh-TW"/>
        </w:rPr>
        <w:t>项目实施方案》</w:t>
      </w:r>
      <w:r>
        <w:rPr>
          <w:rFonts w:hint="eastAsia" w:asciiTheme="minorEastAsia" w:hAnsiTheme="minorEastAsia" w:eastAsiaTheme="minorEastAsia" w:cstheme="minorEastAsia"/>
          <w:color w:val="auto"/>
          <w:sz w:val="21"/>
          <w:szCs w:val="21"/>
          <w:highlight w:val="none"/>
          <w:lang w:val="en-US" w:eastAsia="zh-CN"/>
        </w:rPr>
        <w:t>和《关于巴楚县2024年中央林业草原生态保护恢复资金（森林保护修复）项目实施方案的批复》（喀地林发字〔2024〕40号）</w:t>
      </w:r>
      <w:r>
        <w:rPr>
          <w:rFonts w:hint="eastAsia" w:asciiTheme="minorEastAsia" w:hAnsiTheme="minorEastAsia" w:eastAsiaTheme="minorEastAsia" w:cstheme="minorEastAsia"/>
          <w:color w:val="auto"/>
          <w:sz w:val="21"/>
          <w:szCs w:val="21"/>
          <w:highlight w:val="none"/>
          <w:lang w:val="zh-TW" w:eastAsia="zh-TW"/>
        </w:rPr>
        <w:t>等资料，对</w:t>
      </w:r>
      <w:r>
        <w:rPr>
          <w:rFonts w:hint="eastAsia" w:asciiTheme="minorEastAsia" w:hAnsiTheme="minorEastAsia" w:eastAsiaTheme="minorEastAsia" w:cstheme="minorEastAsia"/>
          <w:color w:val="auto"/>
          <w:sz w:val="21"/>
          <w:szCs w:val="21"/>
          <w:highlight w:val="none"/>
          <w:lang w:val="en-US" w:eastAsia="zh-CN"/>
        </w:rPr>
        <w:t>三级指标进行相应变动，其中，根据实施方案要求，增设了</w:t>
      </w:r>
      <w:r>
        <w:rPr>
          <w:rFonts w:hint="eastAsia" w:asciiTheme="minorEastAsia" w:hAnsiTheme="minorEastAsia" w:eastAsiaTheme="minorEastAsia" w:cstheme="minorEastAsia"/>
          <w:color w:val="auto"/>
          <w:sz w:val="21"/>
          <w:szCs w:val="21"/>
          <w:highlight w:val="none"/>
          <w:lang w:val="zh-TW" w:eastAsia="zh-CN"/>
        </w:rPr>
        <w:t>“开展培训次数”</w:t>
      </w:r>
      <w:r>
        <w:rPr>
          <w:rFonts w:hint="eastAsia" w:asciiTheme="minorEastAsia" w:hAnsiTheme="minorEastAsia" w:eastAsiaTheme="minorEastAsia" w:cstheme="minorEastAsia"/>
          <w:color w:val="auto"/>
          <w:sz w:val="21"/>
          <w:szCs w:val="21"/>
          <w:highlight w:val="none"/>
          <w:lang w:val="en-US" w:eastAsia="zh-CN"/>
        </w:rPr>
        <w:t>指标。根据实施方案批复，增设了“森林督查批次”和“森林督查费”指标。根据单位实际开展情况，修改变动了质量指标，即“培训出勤率”；时效指标“补助资金发放及时率”；社会效益指标“提高生态管护员森林资源管护水平”和“持续保障生态管护员基本生活需求”指标</w:t>
      </w:r>
      <w:r>
        <w:rPr>
          <w:rFonts w:hint="eastAsia" w:asciiTheme="minorEastAsia" w:hAnsiTheme="minorEastAsia" w:eastAsiaTheme="minorEastAsia" w:cstheme="minorEastAsia"/>
          <w:color w:val="auto"/>
          <w:sz w:val="21"/>
          <w:szCs w:val="21"/>
          <w:highlight w:val="none"/>
          <w:lang w:val="zh-TW" w:eastAsia="zh-TW"/>
        </w:rPr>
        <w:t>。具体指标体现设置如下：</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该项目绩效</w:t>
      </w:r>
      <w:r>
        <w:rPr>
          <w:rFonts w:hint="eastAsia" w:asciiTheme="minorEastAsia" w:hAnsiTheme="minorEastAsia" w:eastAsiaTheme="minorEastAsia" w:cstheme="minorEastAsia"/>
          <w:color w:val="auto"/>
          <w:sz w:val="21"/>
          <w:szCs w:val="21"/>
          <w:highlight w:val="none"/>
          <w:lang w:val="zh-TW" w:eastAsia="zh-TW"/>
        </w:rPr>
        <w:t>指标体系</w:t>
      </w:r>
      <w:r>
        <w:rPr>
          <w:rFonts w:hint="eastAsia" w:asciiTheme="minorEastAsia" w:hAnsiTheme="minorEastAsia" w:eastAsiaTheme="minorEastAsia" w:cstheme="minorEastAsia"/>
          <w:color w:val="auto"/>
          <w:sz w:val="21"/>
          <w:szCs w:val="21"/>
          <w:highlight w:val="none"/>
          <w:lang w:val="en-US" w:eastAsia="zh-CN"/>
        </w:rPr>
        <w:t>共</w:t>
      </w:r>
      <w:r>
        <w:rPr>
          <w:rFonts w:hint="eastAsia" w:asciiTheme="minorEastAsia" w:hAnsiTheme="minorEastAsia" w:eastAsiaTheme="minorEastAsia" w:cstheme="minorEastAsia"/>
          <w:color w:val="auto"/>
          <w:sz w:val="21"/>
          <w:szCs w:val="21"/>
          <w:highlight w:val="none"/>
          <w:lang w:val="zh-TW" w:eastAsia="zh-TW"/>
        </w:rPr>
        <w:t>设置一级指标共</w:t>
      </w: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lang w:val="zh-TW" w:eastAsia="zh-TW"/>
        </w:rPr>
        <w:t>个，包括</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决策指标（</w:t>
      </w:r>
      <w:r>
        <w:rPr>
          <w:rFonts w:hint="eastAsia" w:asciiTheme="minorEastAsia" w:hAnsiTheme="minorEastAsia" w:eastAsiaTheme="minorEastAsia" w:cstheme="minorEastAsia"/>
          <w:color w:val="auto"/>
          <w:sz w:val="21"/>
          <w:szCs w:val="21"/>
          <w:highlight w:val="none"/>
          <w:lang w:val="en-US" w:eastAsia="zh-CN"/>
        </w:rPr>
        <w:t>10</w:t>
      </w:r>
      <w:r>
        <w:rPr>
          <w:rFonts w:hint="eastAsia" w:asciiTheme="minorEastAsia" w:hAnsiTheme="minorEastAsia" w:eastAsiaTheme="minorEastAsia" w:cstheme="minorEastAsia"/>
          <w:color w:val="auto"/>
          <w:sz w:val="21"/>
          <w:szCs w:val="21"/>
          <w:highlight w:val="none"/>
          <w:lang w:val="zh-TW" w:eastAsia="zh-TW"/>
        </w:rPr>
        <w:t>%）、过程指标（</w:t>
      </w:r>
      <w:r>
        <w:rPr>
          <w:rFonts w:hint="eastAsia" w:asciiTheme="minorEastAsia" w:hAnsiTheme="minorEastAsia" w:eastAsiaTheme="minorEastAsia" w:cstheme="minorEastAsia"/>
          <w:color w:val="auto"/>
          <w:sz w:val="21"/>
          <w:szCs w:val="21"/>
          <w:highlight w:val="none"/>
          <w:lang w:val="en-US" w:eastAsia="zh-CN"/>
        </w:rPr>
        <w:t>25</w:t>
      </w:r>
      <w:r>
        <w:rPr>
          <w:rFonts w:hint="eastAsia" w:asciiTheme="minorEastAsia" w:hAnsiTheme="minorEastAsia" w:eastAsiaTheme="minorEastAsia" w:cstheme="minorEastAsia"/>
          <w:color w:val="auto"/>
          <w:sz w:val="21"/>
          <w:szCs w:val="21"/>
          <w:highlight w:val="none"/>
          <w:lang w:val="zh-TW" w:eastAsia="zh-TW"/>
        </w:rPr>
        <w:t>%）、产出指标（</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lang w:val="zh-TW" w:eastAsia="zh-TW"/>
        </w:rPr>
        <w:t>%）、效益指标（</w:t>
      </w:r>
      <w:r>
        <w:rPr>
          <w:rFonts w:hint="eastAsia" w:asciiTheme="minorEastAsia" w:hAnsiTheme="minorEastAsia" w:eastAsiaTheme="minorEastAsia" w:cstheme="minorEastAsia"/>
          <w:color w:val="auto"/>
          <w:sz w:val="21"/>
          <w:szCs w:val="21"/>
          <w:highlight w:val="none"/>
          <w:lang w:val="en-US" w:eastAsia="zh-CN"/>
        </w:rPr>
        <w:t>35</w:t>
      </w:r>
      <w:r>
        <w:rPr>
          <w:rFonts w:hint="eastAsia" w:asciiTheme="minorEastAsia" w:hAnsiTheme="minorEastAsia" w:eastAsiaTheme="minorEastAsia" w:cstheme="minorEastAsia"/>
          <w:color w:val="auto"/>
          <w:sz w:val="21"/>
          <w:szCs w:val="21"/>
          <w:highlight w:val="none"/>
          <w:lang w:val="zh-TW" w:eastAsia="zh-TW"/>
        </w:rPr>
        <w:t>%）四类指标</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en-US" w:eastAsia="zh-CN"/>
        </w:rPr>
        <w:t>具体指标分类如下：</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决策指标：A11立项依据充分性、A12立项程序规范性、A21绩效目标合理性、A22绩效指标明确性、A31预算编制科学性、A32资金分配合理性。</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过程指标：B11资金到位率、B12预算执行率、B13资金使用合规性、B21管理制度健全性、B22制度执行有效性。</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产出指标：C11国家级公益林管护面积、C12保障国家级公益林管护人员（续聘）人数、C13开展培训次数、C14森林督查批次、C21培训出勤率、C31补助资金发放及时率、C41管护人员劳务支出、C42日常管护支出、C43森林督查费。</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bookmarkStart w:id="37" w:name="_Toc31487"/>
      <w:r>
        <w:rPr>
          <w:rFonts w:hint="eastAsia" w:asciiTheme="minorEastAsia" w:hAnsiTheme="minorEastAsia" w:eastAsiaTheme="minorEastAsia" w:cstheme="minorEastAsia"/>
          <w:color w:val="auto"/>
          <w:sz w:val="21"/>
          <w:szCs w:val="21"/>
          <w:highlight w:val="none"/>
          <w:lang w:val="en-US" w:eastAsia="zh-CN"/>
        </w:rPr>
        <w:t>效益指标：D11提高生态管护员森林资源管护水平、D12持续保障生态管护员基本生活需求、D21受益生态护林员满意度。</w:t>
      </w:r>
    </w:p>
    <w:bookmarkEnd w:id="37"/>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38" w:name="_Toc28776"/>
      <w:r>
        <w:rPr>
          <w:rFonts w:ascii="Times New Roman" w:hAnsi="Times New Roman"/>
          <w:color w:val="auto"/>
        </w:rPr>
        <w:t>（</w:t>
      </w:r>
      <w:r>
        <w:rPr>
          <w:rFonts w:hint="eastAsia" w:ascii="Times New Roman" w:hAnsi="Times New Roman"/>
          <w:color w:val="auto"/>
        </w:rPr>
        <w:t>七</w:t>
      </w:r>
      <w:r>
        <w:rPr>
          <w:rFonts w:ascii="Times New Roman" w:hAnsi="Times New Roman"/>
          <w:color w:val="auto"/>
        </w:rPr>
        <w:t>）绩效评价工作过程</w:t>
      </w:r>
      <w:bookmarkEnd w:id="36"/>
      <w:bookmarkEnd w:id="38"/>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TW"/>
        </w:rPr>
        <w:t>我们接受委托，按规定开展了前期准备、制定绩效评价工作方案、组织实施、报告撰写等绩效评价工作程序。绩效评价从2025年6月1日启动，在各方有效配合下，评价工作于2025年7月</w:t>
      </w:r>
      <w:r>
        <w:rPr>
          <w:rFonts w:hint="eastAsia" w:asciiTheme="minorEastAsia" w:hAnsiTheme="minorEastAsia" w:eastAsiaTheme="minorEastAsia" w:cstheme="minorEastAsia"/>
          <w:color w:val="auto"/>
          <w:sz w:val="21"/>
          <w:szCs w:val="21"/>
          <w:highlight w:val="none"/>
          <w:lang w:val="en-US" w:eastAsia="zh-CN"/>
        </w:rPr>
        <w:t>25</w:t>
      </w:r>
      <w:r>
        <w:rPr>
          <w:rFonts w:hint="eastAsia" w:asciiTheme="minorEastAsia" w:hAnsiTheme="minorEastAsia" w:eastAsiaTheme="minorEastAsia" w:cstheme="minorEastAsia"/>
          <w:color w:val="auto"/>
          <w:sz w:val="21"/>
          <w:szCs w:val="21"/>
          <w:highlight w:val="none"/>
          <w:lang w:val="zh-TW" w:eastAsia="zh-TW"/>
        </w:rPr>
        <w:t>日前完成。主要实施过程如下</w:t>
      </w:r>
      <w:r>
        <w:rPr>
          <w:rFonts w:hint="eastAsia" w:asciiTheme="minorEastAsia" w:hAnsiTheme="minorEastAsia" w:cstheme="minorEastAsia"/>
          <w:color w:val="auto"/>
          <w:sz w:val="21"/>
          <w:szCs w:val="21"/>
          <w:highlight w:val="none"/>
          <w:lang w:val="zh-TW" w:eastAsia="zh-CN"/>
        </w:rPr>
        <w:t>。</w:t>
      </w:r>
    </w:p>
    <w:p>
      <w:pPr>
        <w:pStyle w:val="2"/>
        <w:spacing w:before="0" w:after="0" w:line="360" w:lineRule="auto"/>
        <w:ind w:firstLine="641"/>
        <w:rPr>
          <w:rFonts w:ascii="Times New Roman" w:hAnsi="Times New Roman" w:eastAsia="宋体"/>
          <w:color w:val="auto"/>
        </w:rPr>
      </w:pPr>
      <w:r>
        <w:rPr>
          <w:rFonts w:ascii="Times New Roman" w:hAnsi="Times New Roman"/>
          <w:color w:val="auto"/>
        </w:rPr>
        <w:t>1.前期准备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val="zh-TW" w:eastAsia="zh-CN"/>
        </w:rPr>
        <w:t>）根据项目实际情况，确定绩效评价目的、评价对象和范围、评价期限，拟定评价工作方案，与委托人签订绩效评价服务合同</w:t>
      </w:r>
      <w:r>
        <w:rPr>
          <w:rFonts w:hint="eastAsia" w:asciiTheme="minorEastAsia" w:hAnsiTheme="minorEastAsia" w:eastAsiaTheme="minorEastAsia" w:cstheme="minorEastAsia"/>
          <w:color w:val="auto"/>
          <w:sz w:val="21"/>
          <w:szCs w:val="21"/>
          <w:highlight w:val="none"/>
          <w:lang w:val="zh-TW" w:eastAsia="zh-TW"/>
        </w:rPr>
        <w:t>。</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成立绩效评价小组。</w:t>
      </w:r>
      <w:r>
        <w:rPr>
          <w:rFonts w:hint="eastAsia" w:asciiTheme="minorEastAsia" w:hAnsiTheme="minorEastAsia" w:eastAsiaTheme="minorEastAsia" w:cstheme="minorEastAsia"/>
          <w:color w:val="auto"/>
          <w:sz w:val="21"/>
          <w:szCs w:val="21"/>
          <w:highlight w:val="none"/>
          <w:lang w:val="en-US" w:eastAsia="zh-CN"/>
        </w:rPr>
        <w:t>绩效评价小组</w:t>
      </w:r>
      <w:r>
        <w:rPr>
          <w:rFonts w:hint="eastAsia" w:asciiTheme="minorEastAsia" w:hAnsiTheme="minorEastAsia" w:eastAsiaTheme="minorEastAsia" w:cstheme="minorEastAsia"/>
          <w:color w:val="auto"/>
          <w:sz w:val="21"/>
          <w:szCs w:val="21"/>
          <w:highlight w:val="none"/>
          <w:lang w:val="zh-TW" w:eastAsia="zh-TW"/>
        </w:rPr>
        <w:t>实行组长负责制，项目总负责人统筹全盘工作，总负责人下设</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val="zh-TW" w:eastAsia="zh-TW"/>
        </w:rPr>
        <w:t>名现场负责人负责总体协调沟通工作，负责现场督导，对</w:t>
      </w:r>
      <w:r>
        <w:rPr>
          <w:rFonts w:hint="eastAsia" w:asciiTheme="minorEastAsia" w:hAnsiTheme="minorEastAsia" w:eastAsiaTheme="minorEastAsia" w:cstheme="minorEastAsia"/>
          <w:color w:val="auto"/>
          <w:sz w:val="21"/>
          <w:szCs w:val="21"/>
          <w:highlight w:val="none"/>
          <w:lang w:val="en-US" w:eastAsia="zh-CN"/>
        </w:rPr>
        <w:t>绩效评价</w:t>
      </w:r>
      <w:r>
        <w:rPr>
          <w:rFonts w:hint="eastAsia" w:asciiTheme="minorEastAsia" w:hAnsiTheme="minorEastAsia" w:eastAsiaTheme="minorEastAsia" w:cstheme="minorEastAsia"/>
          <w:color w:val="auto"/>
          <w:sz w:val="21"/>
          <w:szCs w:val="21"/>
          <w:highlight w:val="none"/>
          <w:lang w:val="zh-TW" w:eastAsia="zh-TW"/>
        </w:rPr>
        <w:t>工作提供技术指导与支持，组织专家团队对评价工作质量把关，并负责报告数据审核验收、报告撰写指导、报告验收等技术工作；依照绩效评价工作要求，组织包括项目管理、财务、绩效等方面专家和技术人员组成绩效评价小组，并完成现场调研、资料收集和检查、项目相关人员访谈、问题清单整理、数据整理、撰写报告等工作</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具体成员及职责分工如下</w:t>
      </w:r>
      <w:r>
        <w:rPr>
          <w:rFonts w:hint="eastAsia" w:asciiTheme="minorEastAsia" w:hAnsiTheme="minorEastAsia" w:cstheme="minorEastAsia"/>
          <w:color w:val="auto"/>
          <w:sz w:val="21"/>
          <w:szCs w:val="21"/>
          <w:highlight w:val="none"/>
          <w:lang w:val="zh-TW" w:eastAsia="zh-CN"/>
        </w:rPr>
        <w:t>。</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491"/>
        <w:gridCol w:w="944"/>
        <w:gridCol w:w="1356"/>
        <w:gridCol w:w="1616"/>
        <w:gridCol w:w="3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9" w:hRule="atLeast"/>
          <w:jc w:val="center"/>
        </w:trPr>
        <w:tc>
          <w:tcPr>
            <w:tcW w:w="295"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序号</w:t>
            </w:r>
          </w:p>
        </w:tc>
        <w:tc>
          <w:tcPr>
            <w:tcW w:w="566"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姓名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项目角色</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资质或公司职位</w:t>
            </w:r>
          </w:p>
        </w:tc>
        <w:tc>
          <w:tcPr>
            <w:tcW w:w="2356"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kern w:val="0"/>
                <w:sz w:val="21"/>
                <w:szCs w:val="21"/>
                <w:highlight w:val="none"/>
                <w:lang w:bidi="ar"/>
              </w:rPr>
            </w:pPr>
            <w:r>
              <w:rPr>
                <w:rFonts w:hint="default" w:ascii="Times New Roman" w:hAnsi="Times New Roman" w:eastAsia="仿宋_GB2312" w:cs="Times New Roman"/>
                <w:b/>
                <w:color w:val="auto"/>
                <w:kern w:val="0"/>
                <w:sz w:val="21"/>
                <w:szCs w:val="21"/>
                <w:highlight w:val="none"/>
                <w:lang w:bidi="ar"/>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03" w:hRule="atLeast"/>
          <w:jc w:val="center"/>
        </w:trPr>
        <w:tc>
          <w:tcPr>
            <w:tcW w:w="295"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kern w:val="0"/>
                <w:sz w:val="21"/>
                <w:szCs w:val="21"/>
                <w:highlight w:val="none"/>
                <w:lang w:bidi="ar"/>
              </w:rPr>
              <w:t>1</w:t>
            </w:r>
          </w:p>
        </w:tc>
        <w:tc>
          <w:tcPr>
            <w:tcW w:w="566"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color w:val="auto"/>
                <w:kern w:val="0"/>
                <w:sz w:val="21"/>
                <w:szCs w:val="21"/>
                <w:highlight w:val="none"/>
                <w:lang w:bidi="ar"/>
              </w:rPr>
            </w:pPr>
            <w:r>
              <w:rPr>
                <w:rFonts w:hint="default" w:ascii="Times New Roman" w:hAnsi="Times New Roman" w:eastAsia="仿宋_GB2312" w:cs="Times New Roman"/>
                <w:color w:val="auto"/>
                <w:kern w:val="0"/>
                <w:sz w:val="21"/>
                <w:szCs w:val="21"/>
                <w:highlight w:val="none"/>
                <w:lang w:bidi="ar"/>
              </w:rPr>
              <w:t>冯延萍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主评人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注册会计师、中级会计师</w:t>
            </w:r>
          </w:p>
        </w:tc>
        <w:tc>
          <w:tcPr>
            <w:tcW w:w="2356"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295"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2</w:t>
            </w:r>
          </w:p>
        </w:tc>
        <w:tc>
          <w:tcPr>
            <w:tcW w:w="566"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高文生</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质控负责人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注册会计师、高级会计师</w:t>
            </w:r>
          </w:p>
        </w:tc>
        <w:tc>
          <w:tcPr>
            <w:tcW w:w="2356"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left"/>
              <w:textAlignment w:val="center"/>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color w:val="auto"/>
                <w:sz w:val="21"/>
                <w:szCs w:val="21"/>
                <w:highlight w:val="none"/>
              </w:rPr>
              <w:t>通过稽核强化工作质量管理，严格把控评价结果报告质量关，规范出具报告的标准。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295"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val="en-US" w:eastAsia="zh-CN" w:bidi="ar"/>
              </w:rPr>
            </w:pPr>
            <w:r>
              <w:rPr>
                <w:rFonts w:hint="eastAsia" w:ascii="Times New Roman" w:hAnsi="Times New Roman" w:cs="Times New Roman"/>
                <w:color w:val="auto"/>
                <w:kern w:val="0"/>
                <w:sz w:val="21"/>
                <w:szCs w:val="21"/>
                <w:highlight w:val="none"/>
                <w:lang w:val="en-US" w:eastAsia="zh-CN" w:bidi="ar"/>
              </w:rPr>
              <w:t>3</w:t>
            </w:r>
          </w:p>
        </w:tc>
        <w:tc>
          <w:tcPr>
            <w:tcW w:w="566"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王丽</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报告复核人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Times New Roman" w:hAnsi="Times New Roman" w:eastAsia="仿宋_GB2312" w:cs="Times New Roman"/>
                <w:color w:val="auto"/>
                <w:sz w:val="21"/>
                <w:szCs w:val="21"/>
                <w:highlight w:val="none"/>
                <w:lang w:val="en-US" w:eastAsia="zh-CN"/>
              </w:rPr>
              <w:t>技术总监</w:t>
            </w:r>
          </w:p>
        </w:tc>
        <w:tc>
          <w:tcPr>
            <w:tcW w:w="2356"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bCs/>
                <w:snapToGrid w:val="0"/>
                <w:color w:val="auto"/>
                <w:sz w:val="21"/>
                <w:szCs w:val="21"/>
                <w:highlight w:val="none"/>
                <w:lang w:val="en-US" w:eastAsia="zh-CN"/>
              </w:rPr>
            </w:pPr>
            <w:r>
              <w:rPr>
                <w:rFonts w:hint="default" w:ascii="Times New Roman" w:hAnsi="Times New Roman" w:eastAsia="仿宋_GB2312" w:cs="Times New Roman"/>
                <w:bCs/>
                <w:snapToGrid w:val="0"/>
                <w:color w:val="auto"/>
                <w:sz w:val="21"/>
                <w:szCs w:val="21"/>
                <w:highlight w:val="none"/>
                <w:lang w:val="en-US" w:eastAsia="zh-CN"/>
              </w:rPr>
              <w:t>审核实施方案，负责对项目成果进行复核，</w:t>
            </w:r>
            <w:r>
              <w:rPr>
                <w:rFonts w:hint="default" w:ascii="Times New Roman" w:hAnsi="Times New Roman" w:eastAsia="仿宋_GB2312" w:cs="Times New Roman"/>
                <w:color w:val="auto"/>
                <w:sz w:val="21"/>
                <w:szCs w:val="21"/>
                <w:highlight w:val="none"/>
              </w:rPr>
              <w:t>杜绝或减少对外出具的报告中出现不应出错或低级错误的发生，确保工作质量不出现重大纰漏。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295"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kern w:val="0"/>
                <w:sz w:val="21"/>
                <w:szCs w:val="21"/>
                <w:highlight w:val="none"/>
                <w:lang w:bidi="ar"/>
              </w:rPr>
              <w:t>4</w:t>
            </w:r>
          </w:p>
        </w:tc>
        <w:tc>
          <w:tcPr>
            <w:tcW w:w="566"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石俊宇</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项目负责人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color w:val="auto"/>
                <w:sz w:val="21"/>
                <w:szCs w:val="21"/>
                <w:highlight w:val="none"/>
                <w:lang w:eastAsia="zh-CN"/>
              </w:rPr>
            </w:pPr>
            <w:r>
              <w:rPr>
                <w:rFonts w:hint="default" w:ascii="Times New Roman" w:hAnsi="Times New Roman" w:eastAsia="仿宋_GB2312" w:cs="Times New Roman"/>
                <w:color w:val="auto"/>
                <w:sz w:val="21"/>
                <w:szCs w:val="21"/>
                <w:highlight w:val="none"/>
              </w:rPr>
              <w:t>项目</w:t>
            </w:r>
            <w:r>
              <w:rPr>
                <w:rFonts w:hint="eastAsia" w:eastAsia="仿宋_GB2312" w:cs="Times New Roman"/>
                <w:color w:val="auto"/>
                <w:sz w:val="21"/>
                <w:szCs w:val="21"/>
                <w:highlight w:val="none"/>
                <w:lang w:val="en-US" w:eastAsia="zh-CN"/>
              </w:rPr>
              <w:t>主审</w:t>
            </w:r>
          </w:p>
        </w:tc>
        <w:tc>
          <w:tcPr>
            <w:tcW w:w="2356"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imes New Roman" w:hAnsi="Times New Roman" w:eastAsia="仿宋_GB2312" w:cs="Times New Roman"/>
                <w:color w:val="auto"/>
                <w:kern w:val="0"/>
                <w:sz w:val="21"/>
                <w:szCs w:val="21"/>
                <w:highlight w:val="none"/>
                <w:lang w:eastAsia="zh-CN" w:bidi="ar"/>
              </w:rPr>
            </w:pPr>
            <w:r>
              <w:rPr>
                <w:rFonts w:hint="default" w:ascii="Times New Roman" w:hAnsi="Times New Roman" w:eastAsia="仿宋_GB2312"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eastAsia" w:ascii="Times New Roman" w:hAnsi="Times New Roman" w:cs="Times New Roman"/>
                <w:bCs/>
                <w:snapToGrid w:val="0"/>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0" w:hRule="atLeast"/>
          <w:jc w:val="center"/>
        </w:trPr>
        <w:tc>
          <w:tcPr>
            <w:tcW w:w="295" w:type="pct"/>
            <w:vMerge w:val="restar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eastAsia="en-US" w:bidi="ar"/>
              </w:rPr>
            </w:pPr>
            <w:r>
              <w:rPr>
                <w:rFonts w:hint="default" w:ascii="Times New Roman" w:hAnsi="Times New Roman" w:eastAsia="仿宋_GB2312" w:cs="Times New Roman"/>
                <w:color w:val="auto"/>
                <w:kern w:val="0"/>
                <w:sz w:val="21"/>
                <w:szCs w:val="21"/>
                <w:highlight w:val="none"/>
                <w:lang w:bidi="ar"/>
              </w:rPr>
              <w:t>5</w:t>
            </w:r>
          </w:p>
        </w:tc>
        <w:tc>
          <w:tcPr>
            <w:tcW w:w="566"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eastAsia" w:eastAsia="仿宋_GB2312" w:cs="Times New Roman"/>
                <w:bCs/>
                <w:snapToGrid w:val="0"/>
                <w:color w:val="auto"/>
                <w:spacing w:val="6"/>
                <w:kern w:val="2"/>
                <w:sz w:val="21"/>
                <w:szCs w:val="21"/>
                <w:highlight w:val="none"/>
                <w:lang w:val="en-US" w:eastAsia="zh-CN" w:bidi="ar-SA"/>
              </w:rPr>
              <w:t>石俊宇</w:t>
            </w:r>
          </w:p>
        </w:tc>
        <w:tc>
          <w:tcPr>
            <w:tcW w:w="813"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6"/>
                <w:szCs w:val="16"/>
                <w:highlight w:val="none"/>
              </w:rPr>
              <w:t>项目绩效评价人员</w:t>
            </w:r>
          </w:p>
        </w:tc>
        <w:tc>
          <w:tcPr>
            <w:tcW w:w="969"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eastAsia" w:ascii="Times New Roman" w:hAnsi="Times New Roman" w:eastAsia="仿宋_GB2312" w:cs="Times New Roman"/>
                <w:color w:val="auto"/>
                <w:sz w:val="21"/>
                <w:szCs w:val="21"/>
                <w:highlight w:val="none"/>
                <w:lang w:val="en-US" w:eastAsia="zh-CN"/>
              </w:rPr>
              <w:t>项目主审</w:t>
            </w:r>
          </w:p>
        </w:tc>
        <w:tc>
          <w:tcPr>
            <w:tcW w:w="2356" w:type="pct"/>
            <w:vMerge w:val="restar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按照计划和分工</w:t>
            </w:r>
            <w:r>
              <w:rPr>
                <w:rFonts w:hint="default" w:ascii="Times New Roman" w:hAnsi="Times New Roman" w:eastAsia="仿宋_GB2312" w:cs="Times New Roman"/>
                <w:bCs/>
                <w:snapToGrid w:val="0"/>
                <w:color w:val="auto"/>
                <w:sz w:val="21"/>
                <w:szCs w:val="21"/>
                <w:highlight w:val="none"/>
                <w:lang w:eastAsia="zh-CN"/>
              </w:rPr>
              <w:t>完成</w:t>
            </w:r>
            <w:r>
              <w:rPr>
                <w:rFonts w:hint="default" w:ascii="Times New Roman" w:hAnsi="Times New Roman" w:eastAsia="仿宋_GB2312" w:cs="Times New Roman"/>
                <w:bCs/>
                <w:snapToGrid w:val="0"/>
                <w:color w:val="auto"/>
                <w:sz w:val="21"/>
                <w:szCs w:val="21"/>
                <w:highlight w:val="none"/>
              </w:rPr>
              <w:t>现场调研、资料收集和检查、项目相关人员访谈、问题清单整理、数据整理、撰写报告等工作。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295"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566"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eastAsia" w:eastAsia="仿宋_GB2312" w:cs="Times New Roman"/>
                <w:bCs/>
                <w:snapToGrid w:val="0"/>
                <w:color w:val="auto"/>
                <w:spacing w:val="6"/>
                <w:kern w:val="2"/>
                <w:sz w:val="21"/>
                <w:szCs w:val="21"/>
                <w:highlight w:val="none"/>
                <w:lang w:val="en-US" w:eastAsia="zh-CN" w:bidi="ar-SA"/>
              </w:rPr>
              <w:t>马红伟</w:t>
            </w:r>
          </w:p>
        </w:tc>
        <w:tc>
          <w:tcPr>
            <w:tcW w:w="813"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18"/>
                <w:szCs w:val="18"/>
                <w:highlight w:val="none"/>
                <w:lang w:val="en-US" w:eastAsia="zh-CN"/>
              </w:rPr>
            </w:pPr>
            <w:r>
              <w:rPr>
                <w:rFonts w:hint="default" w:ascii="Times New Roman" w:hAnsi="Times New Roman" w:eastAsia="仿宋_GB2312" w:cs="Times New Roman"/>
                <w:color w:val="auto"/>
                <w:sz w:val="16"/>
                <w:szCs w:val="16"/>
                <w:highlight w:val="none"/>
              </w:rPr>
              <w:t>项目绩效评价人员</w:t>
            </w:r>
          </w:p>
        </w:tc>
        <w:tc>
          <w:tcPr>
            <w:tcW w:w="969" w:type="pct"/>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color w:val="auto"/>
                <w:sz w:val="21"/>
                <w:szCs w:val="21"/>
                <w:highlight w:val="none"/>
                <w:lang w:val="en-US" w:eastAsia="zh-CN"/>
              </w:rPr>
            </w:pPr>
            <w:r>
              <w:rPr>
                <w:rFonts w:hint="eastAsia" w:ascii="Times New Roman" w:hAnsi="Times New Roman" w:eastAsia="仿宋_GB2312" w:cs="Times New Roman"/>
                <w:color w:val="auto"/>
                <w:sz w:val="21"/>
                <w:szCs w:val="21"/>
                <w:highlight w:val="none"/>
                <w:lang w:val="en-US" w:eastAsia="zh-CN"/>
              </w:rPr>
              <w:t>项目助理</w:t>
            </w:r>
          </w:p>
        </w:tc>
        <w:tc>
          <w:tcPr>
            <w:tcW w:w="2356"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bl>
    <w:p>
      <w:pPr>
        <w:pStyle w:val="2"/>
        <w:spacing w:before="0" w:after="0" w:line="360" w:lineRule="auto"/>
        <w:ind w:firstLine="641"/>
        <w:rPr>
          <w:rFonts w:hint="eastAsia" w:ascii="Times New Roman" w:hAnsi="Times New Roman" w:cs="Times New Roman"/>
          <w:color w:val="auto"/>
        </w:rPr>
      </w:pPr>
      <w:r>
        <w:rPr>
          <w:rFonts w:hint="eastAsia" w:ascii="Times New Roman" w:hAnsi="Times New Roman" w:cs="Times New Roman"/>
          <w:color w:val="auto"/>
        </w:rPr>
        <w:t>2.确定绩效评价工作方案</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绩效评价小组根据前期初步收集的项目资料，根据项目实施内容及政策文件要求，制定《</w:t>
      </w:r>
      <w:r>
        <w:rPr>
          <w:rFonts w:hint="eastAsia" w:asciiTheme="minorEastAsia" w:hAnsiTheme="minorEastAsia" w:eastAsiaTheme="minorEastAsia" w:cstheme="minorEastAsia"/>
          <w:color w:val="auto"/>
          <w:sz w:val="21"/>
          <w:szCs w:val="21"/>
          <w:highlight w:val="none"/>
          <w:lang w:val="en-US" w:eastAsia="zh-CN"/>
        </w:rPr>
        <w:t>2024年中央林业草原生态保护恢复资金（森林保护修复）项目</w:t>
      </w:r>
      <w:r>
        <w:rPr>
          <w:rFonts w:hint="eastAsia" w:asciiTheme="minorEastAsia" w:hAnsiTheme="minorEastAsia" w:eastAsiaTheme="minorEastAsia" w:cstheme="minorEastAsia"/>
          <w:color w:val="auto"/>
          <w:sz w:val="21"/>
          <w:szCs w:val="21"/>
          <w:highlight w:val="none"/>
          <w:lang w:val="zh-TW" w:eastAsia="zh-CN"/>
        </w:rPr>
        <w:t>绩效评价实施方案》。</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val="zh-TW" w:eastAsia="zh-CN"/>
        </w:rPr>
        <w:t>025年6月1日，绩效评价小组将实施方案初稿提交至绩效评价小组组长进行审核。经</w:t>
      </w:r>
      <w:r>
        <w:rPr>
          <w:rFonts w:hint="eastAsia" w:asciiTheme="minorEastAsia" w:hAnsiTheme="minorEastAsia" w:eastAsiaTheme="minorEastAsia" w:cstheme="minorEastAsia"/>
          <w:color w:val="auto"/>
          <w:sz w:val="21"/>
          <w:szCs w:val="21"/>
          <w:highlight w:val="none"/>
          <w:lang w:val="en-US" w:eastAsia="zh-CN"/>
        </w:rPr>
        <w:t>审核</w:t>
      </w:r>
      <w:r>
        <w:rPr>
          <w:rFonts w:hint="eastAsia" w:asciiTheme="minorEastAsia" w:hAnsiTheme="minorEastAsia" w:eastAsiaTheme="minorEastAsia" w:cstheme="minorEastAsia"/>
          <w:color w:val="auto"/>
          <w:sz w:val="21"/>
          <w:szCs w:val="21"/>
          <w:highlight w:val="none"/>
          <w:lang w:val="zh-TW" w:eastAsia="zh-CN"/>
        </w:rPr>
        <w:t>通过后，项目绩效评价工作正式启动。</w:t>
      </w:r>
    </w:p>
    <w:p>
      <w:pPr>
        <w:pStyle w:val="2"/>
        <w:spacing w:before="0" w:after="0" w:line="360" w:lineRule="auto"/>
        <w:ind w:firstLine="641"/>
        <w:rPr>
          <w:rFonts w:ascii="Times New Roman" w:hAnsi="Times New Roman"/>
          <w:color w:val="auto"/>
        </w:rPr>
      </w:pPr>
      <w:bookmarkStart w:id="39" w:name="_Toc68364664"/>
      <w:bookmarkStart w:id="40" w:name="_Toc12028"/>
      <w:r>
        <w:rPr>
          <w:rFonts w:ascii="Times New Roman" w:hAnsi="Times New Roman"/>
          <w:color w:val="auto"/>
        </w:rPr>
        <w:t>3.组织实施</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en-US" w:eastAsia="zh-CN"/>
        </w:rPr>
        <w:t>2025</w:t>
      </w:r>
      <w:r>
        <w:rPr>
          <w:rFonts w:hint="eastAsia" w:asciiTheme="minorEastAsia" w:hAnsiTheme="minorEastAsia" w:eastAsiaTheme="minorEastAsia" w:cstheme="minorEastAsia"/>
          <w:color w:val="auto"/>
          <w:sz w:val="21"/>
          <w:szCs w:val="21"/>
          <w:highlight w:val="none"/>
          <w:lang w:val="zh-TW" w:eastAsia="zh-CN"/>
        </w:rPr>
        <w:t>年</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lang w:val="zh-TW" w:eastAsia="zh-CN"/>
        </w:rPr>
        <w:t>月</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val="zh-TW" w:eastAsia="zh-CN"/>
        </w:rPr>
        <w:t>日</w:t>
      </w:r>
      <w:r>
        <w:rPr>
          <w:rFonts w:hint="eastAsia" w:asciiTheme="minorEastAsia" w:hAnsiTheme="minorEastAsia" w:eastAsiaTheme="minorEastAsia" w:cstheme="minorEastAsia"/>
          <w:color w:val="auto"/>
          <w:sz w:val="21"/>
          <w:szCs w:val="21"/>
          <w:highlight w:val="none"/>
          <w:lang w:val="en-US" w:eastAsia="zh-CN"/>
        </w:rPr>
        <w:t>至2025</w:t>
      </w:r>
      <w:r>
        <w:rPr>
          <w:rFonts w:hint="eastAsia" w:asciiTheme="minorEastAsia" w:hAnsiTheme="minorEastAsia" w:eastAsiaTheme="minorEastAsia" w:cstheme="minorEastAsia"/>
          <w:color w:val="auto"/>
          <w:sz w:val="21"/>
          <w:szCs w:val="21"/>
          <w:highlight w:val="none"/>
          <w:lang w:val="zh-TW" w:eastAsia="zh-CN"/>
        </w:rPr>
        <w:t>年</w:t>
      </w:r>
      <w:r>
        <w:rPr>
          <w:rFonts w:hint="eastAsia" w:asciiTheme="minorEastAsia" w:hAnsiTheme="minorEastAsia" w:eastAsiaTheme="minorEastAsia" w:cstheme="minorEastAsia"/>
          <w:color w:val="auto"/>
          <w:sz w:val="21"/>
          <w:szCs w:val="21"/>
          <w:highlight w:val="none"/>
          <w:lang w:val="en-US" w:eastAsia="zh-CN"/>
        </w:rPr>
        <w:t>6</w:t>
      </w:r>
      <w:r>
        <w:rPr>
          <w:rFonts w:hint="eastAsia" w:asciiTheme="minorEastAsia" w:hAnsiTheme="minorEastAsia" w:eastAsiaTheme="minorEastAsia" w:cstheme="minorEastAsia"/>
          <w:color w:val="auto"/>
          <w:sz w:val="21"/>
          <w:szCs w:val="21"/>
          <w:highlight w:val="none"/>
          <w:lang w:val="zh-TW" w:eastAsia="zh-CN"/>
        </w:rPr>
        <w:t>月</w:t>
      </w:r>
      <w:r>
        <w:rPr>
          <w:rFonts w:hint="eastAsia" w:asciiTheme="minorEastAsia" w:hAnsiTheme="minorEastAsia" w:eastAsiaTheme="minorEastAsia" w:cstheme="minorEastAsia"/>
          <w:color w:val="auto"/>
          <w:sz w:val="21"/>
          <w:szCs w:val="21"/>
          <w:highlight w:val="none"/>
          <w:lang w:val="en-US" w:eastAsia="zh-CN"/>
        </w:rPr>
        <w:t>25</w:t>
      </w:r>
      <w:r>
        <w:rPr>
          <w:rFonts w:hint="eastAsia" w:asciiTheme="minorEastAsia" w:hAnsiTheme="minorEastAsia" w:eastAsiaTheme="minorEastAsia" w:cstheme="minorEastAsia"/>
          <w:color w:val="auto"/>
          <w:sz w:val="21"/>
          <w:szCs w:val="21"/>
          <w:highlight w:val="none"/>
          <w:lang w:val="zh-TW" w:eastAsia="zh-CN"/>
        </w:rPr>
        <w:t>日，绩效评价组采取</w:t>
      </w:r>
      <w:r>
        <w:rPr>
          <w:rFonts w:hint="eastAsia" w:asciiTheme="minorEastAsia" w:hAnsiTheme="minorEastAsia" w:eastAsiaTheme="minorEastAsia" w:cstheme="minorEastAsia"/>
          <w:color w:val="auto"/>
          <w:sz w:val="21"/>
          <w:szCs w:val="21"/>
          <w:highlight w:val="none"/>
          <w:lang w:val="en-US" w:eastAsia="zh-CN"/>
        </w:rPr>
        <w:t>线上、线下相结合</w:t>
      </w:r>
      <w:r>
        <w:rPr>
          <w:rFonts w:hint="eastAsia" w:asciiTheme="minorEastAsia" w:hAnsiTheme="minorEastAsia" w:eastAsiaTheme="minorEastAsia" w:cstheme="minorEastAsia"/>
          <w:color w:val="auto"/>
          <w:sz w:val="21"/>
          <w:szCs w:val="21"/>
          <w:highlight w:val="none"/>
          <w:lang w:val="zh-TW" w:eastAsia="zh-CN"/>
        </w:rPr>
        <w:t>评价的方式开展调研、查阅基础资料、数据采集、问卷调查、访谈、数据分析等绩效评价工作，具体实施情况如下</w:t>
      </w:r>
      <w:r>
        <w:rPr>
          <w:rFonts w:hint="eastAsia" w:asciiTheme="minorEastAsia" w:hAnsiTheme="minorEastAsia" w:cstheme="minorEastAsia"/>
          <w:color w:val="auto"/>
          <w:sz w:val="21"/>
          <w:szCs w:val="21"/>
          <w:highlight w:val="none"/>
          <w:lang w:val="zh-TW" w:eastAsia="zh-CN"/>
        </w:rPr>
        <w:t>。</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bookmarkStart w:id="41" w:name="_Toc11994"/>
      <w:r>
        <w:rPr>
          <w:rFonts w:hint="eastAsia" w:asciiTheme="minorEastAsia" w:hAnsiTheme="minorEastAsia" w:eastAsiaTheme="minorEastAsia" w:cstheme="minorEastAsia"/>
          <w:color w:val="auto"/>
          <w:sz w:val="21"/>
          <w:szCs w:val="21"/>
          <w:highlight w:val="none"/>
          <w:lang w:val="zh-TW" w:eastAsia="zh-CN"/>
        </w:rPr>
        <w:t>（1）与</w:t>
      </w:r>
      <w:r>
        <w:rPr>
          <w:rFonts w:hint="eastAsia" w:asciiTheme="minorEastAsia" w:hAnsiTheme="minorEastAsia" w:eastAsiaTheme="minorEastAsia" w:cstheme="minorEastAsia"/>
          <w:color w:val="auto"/>
          <w:sz w:val="21"/>
          <w:szCs w:val="21"/>
          <w:highlight w:val="none"/>
          <w:lang w:val="en-US" w:eastAsia="zh-CN"/>
        </w:rPr>
        <w:t>巴楚县自然资源局相关业务处室</w:t>
      </w:r>
      <w:r>
        <w:rPr>
          <w:rFonts w:hint="eastAsia" w:asciiTheme="minorEastAsia" w:hAnsiTheme="minorEastAsia" w:eastAsiaTheme="minorEastAsia" w:cstheme="minorEastAsia"/>
          <w:color w:val="auto"/>
          <w:sz w:val="21"/>
          <w:szCs w:val="21"/>
          <w:highlight w:val="none"/>
          <w:lang w:val="zh-TW" w:eastAsia="zh-CN"/>
        </w:rPr>
        <w:t>管理人员进行访谈沟通，全面了解项目实施的目的、预算安排、组织管理、实施结果等方面的内容。根据</w:t>
      </w:r>
      <w:r>
        <w:rPr>
          <w:rFonts w:hint="eastAsia" w:asciiTheme="minorEastAsia" w:hAnsiTheme="minorEastAsia" w:eastAsiaTheme="minorEastAsia" w:cstheme="minorEastAsia"/>
          <w:color w:val="auto"/>
          <w:sz w:val="21"/>
          <w:szCs w:val="21"/>
          <w:highlight w:val="none"/>
          <w:lang w:val="en-US" w:eastAsia="zh-CN"/>
        </w:rPr>
        <w:t>巴楚县自然资源局</w:t>
      </w:r>
      <w:r>
        <w:rPr>
          <w:rFonts w:hint="eastAsia" w:asciiTheme="minorEastAsia" w:hAnsiTheme="minorEastAsia" w:eastAsiaTheme="minorEastAsia" w:cstheme="minorEastAsia"/>
          <w:color w:val="auto"/>
          <w:sz w:val="21"/>
          <w:szCs w:val="21"/>
          <w:highlight w:val="none"/>
          <w:lang w:val="zh-TW" w:eastAsia="zh-CN"/>
        </w:rPr>
        <w:t>提供的项目立项、实施、资金使用及管理等方面的资料，对资料进行梳理、分析，并对标相关的政策依据、法律法规、单位制度等，完成绩效评价内容所需的印证资料整理汇总。</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lang w:val="zh-TW" w:eastAsia="zh-CN"/>
        </w:rPr>
        <w:t>）</w:t>
      </w:r>
      <w:bookmarkEnd w:id="41"/>
      <w:bookmarkStart w:id="42" w:name="_Toc419984726"/>
      <w:bookmarkStart w:id="43" w:name="_Toc428278235"/>
      <w:bookmarkStart w:id="44" w:name="_Toc26870"/>
      <w:r>
        <w:rPr>
          <w:rFonts w:hint="eastAsia" w:asciiTheme="minorEastAsia" w:hAnsiTheme="minorEastAsia" w:eastAsiaTheme="minorEastAsia" w:cstheme="minorEastAsia"/>
          <w:color w:val="auto"/>
          <w:sz w:val="21"/>
          <w:szCs w:val="21"/>
          <w:highlight w:val="none"/>
          <w:lang w:val="zh-TW" w:eastAsia="zh-CN"/>
        </w:rPr>
        <w:t>全面收集项目决策依据、财政预算安排执行情况、行业监管、供热运营管理、项目公司经营情况等相关资料，完成绩效评价内容所需的印证资料整理汇总。</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val="zh-TW" w:eastAsia="zh-CN"/>
        </w:rPr>
        <w:t>）经调研了解，该项目主要受益群体为各县市</w:t>
      </w:r>
      <w:r>
        <w:rPr>
          <w:rFonts w:hint="eastAsia" w:asciiTheme="minorEastAsia" w:hAnsiTheme="minorEastAsia" w:cstheme="minorEastAsia"/>
          <w:color w:val="auto"/>
          <w:sz w:val="21"/>
          <w:szCs w:val="21"/>
          <w:highlight w:val="none"/>
          <w:lang w:val="zh-TW" w:eastAsia="zh-CN"/>
        </w:rPr>
        <w:t>林业</w:t>
      </w:r>
      <w:r>
        <w:rPr>
          <w:rFonts w:hint="eastAsia" w:asciiTheme="minorEastAsia" w:hAnsiTheme="minorEastAsia" w:eastAsiaTheme="minorEastAsia" w:cstheme="minorEastAsia"/>
          <w:color w:val="auto"/>
          <w:sz w:val="21"/>
          <w:szCs w:val="21"/>
          <w:highlight w:val="none"/>
          <w:lang w:val="zh-TW" w:eastAsia="zh-CN"/>
        </w:rPr>
        <w:t>的管护人员，我们根据绩效评价目标和绩效指标体系，设计满意度调查问卷，独立开展第三方问卷调查工作。该项目问卷调查使用随机抽样的方式，共选取居民用户样本81份发放调查问卷，有效回收问卷81份</w:t>
      </w:r>
      <w:r>
        <w:rPr>
          <w:rFonts w:hint="eastAsia" w:asciiTheme="minorEastAsia" w:hAnsiTheme="minorEastAsia" w:eastAsiaTheme="minorEastAsia" w:cstheme="minorEastAsia"/>
          <w:color w:val="auto"/>
          <w:sz w:val="21"/>
          <w:szCs w:val="21"/>
          <w:highlight w:val="none"/>
          <w:lang w:val="en-US" w:eastAsia="zh-CN"/>
        </w:rPr>
        <w:t>。</w:t>
      </w:r>
      <w:bookmarkEnd w:id="42"/>
      <w:bookmarkEnd w:id="43"/>
      <w:bookmarkEnd w:id="44"/>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（5）通过对采集的数据资料进行复核汇总、分类整理和综合分析，按照设立的评价指标、标准、权重、方法实施评价，并形成评价工作底稿。</w:t>
      </w:r>
    </w:p>
    <w:p>
      <w:pPr>
        <w:pStyle w:val="2"/>
        <w:spacing w:before="0" w:after="0" w:line="360" w:lineRule="auto"/>
        <w:ind w:firstLine="641"/>
        <w:rPr>
          <w:rFonts w:ascii="Times New Roman" w:hAnsi="Times New Roman"/>
          <w:color w:val="auto"/>
        </w:rPr>
      </w:pPr>
      <w:bookmarkStart w:id="45" w:name="_Toc2618"/>
      <w:r>
        <w:rPr>
          <w:rFonts w:ascii="Times New Roman" w:hAnsi="Times New Roman"/>
          <w:color w:val="auto"/>
        </w:rPr>
        <w:t>4.撰写评价报告</w:t>
      </w:r>
      <w:bookmarkEnd w:id="45"/>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2025年6月26日至2025年7月25日，归集绩效评价工作底稿，起草项目绩效评价报告，经公司内部质量审核通过后向委托人提交绩效评价报告初稿，并报送项目实施单位以及行业主管部门，进行结果反馈，充分交换意见。</w:t>
      </w:r>
    </w:p>
    <w:p>
      <w:pPr>
        <w:pStyle w:val="2"/>
        <w:spacing w:before="0" w:after="0" w:line="360" w:lineRule="auto"/>
        <w:ind w:firstLine="641"/>
        <w:rPr>
          <w:rFonts w:hint="eastAsia" w:ascii="Times New Roman" w:hAnsi="Times New Roman" w:cs="Times New Roman"/>
          <w:color w:val="auto"/>
        </w:rPr>
      </w:pPr>
      <w:r>
        <w:rPr>
          <w:rFonts w:hint="eastAsia" w:ascii="Times New Roman" w:hAnsi="Times New Roman" w:cs="Times New Roman"/>
          <w:color w:val="auto"/>
          <w:lang w:val="en-US" w:eastAsia="zh-CN"/>
        </w:rPr>
        <w:t>5</w:t>
      </w:r>
      <w:r>
        <w:rPr>
          <w:rFonts w:hint="eastAsia" w:ascii="Times New Roman" w:hAnsi="Times New Roman" w:cs="Times New Roman"/>
          <w:color w:val="auto"/>
        </w:rPr>
        <w:t>.资料档案</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pPr>
        <w:pStyle w:val="5"/>
        <w:pageBreakBefore w:val="0"/>
        <w:kinsoku/>
        <w:wordWrap/>
        <w:overflowPunct/>
        <w:topLinePunct w:val="0"/>
        <w:autoSpaceDE/>
        <w:autoSpaceDN/>
        <w:bidi w:val="0"/>
        <w:snapToGrid w:val="0"/>
        <w:spacing w:before="0" w:after="0" w:line="360" w:lineRule="auto"/>
        <w:ind w:firstLine="482"/>
        <w:rPr>
          <w:rFonts w:hint="eastAsia"/>
          <w:color w:val="auto"/>
        </w:rPr>
      </w:pPr>
      <w:r>
        <w:rPr>
          <w:rFonts w:hint="eastAsia"/>
          <w:color w:val="auto"/>
        </w:rPr>
        <w:t>四、综合评价情况及评价结论</w:t>
      </w:r>
      <w:bookmarkEnd w:id="39"/>
      <w:bookmarkEnd w:id="40"/>
    </w:p>
    <w:p>
      <w:pPr>
        <w:pStyle w:val="6"/>
        <w:pageBreakBefore w:val="0"/>
        <w:kinsoku/>
        <w:wordWrap/>
        <w:overflowPunct/>
        <w:topLinePunct w:val="0"/>
        <w:autoSpaceDE/>
        <w:autoSpaceDN/>
        <w:bidi w:val="0"/>
        <w:snapToGrid w:val="0"/>
        <w:spacing w:before="0" w:after="0" w:line="360" w:lineRule="auto"/>
        <w:ind w:firstLine="482"/>
        <w:rPr>
          <w:rFonts w:hint="eastAsia"/>
          <w:color w:val="auto"/>
          <w:lang w:eastAsia="zh-TW"/>
        </w:rPr>
      </w:pPr>
      <w:bookmarkStart w:id="46" w:name="_Toc27529"/>
      <w:bookmarkStart w:id="47" w:name="_Toc22544"/>
      <w:bookmarkStart w:id="48" w:name="_Toc535"/>
      <w:r>
        <w:rPr>
          <w:rFonts w:hint="eastAsia"/>
          <w:color w:val="auto"/>
        </w:rPr>
        <w:t>（一）评价得分情况</w:t>
      </w:r>
      <w:bookmarkEnd w:id="46"/>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zh-TW" w:eastAsia="zh-TW"/>
        </w:rPr>
        <w:t>通过调研、数据分析、访谈等方式，根据绩效评价方案确定的指标体系及评分标准，对</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en-US" w:eastAsia="zh-CN"/>
        </w:rPr>
        <w:t>2024年中央林业草原生态保护恢复资金（森林保护修复）项目</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绩效进行客观评价，经评价分析，该项目最终评分结果为</w:t>
      </w:r>
      <w:r>
        <w:rPr>
          <w:rFonts w:hint="eastAsia" w:asciiTheme="minorEastAsia" w:hAnsiTheme="minorEastAsia" w:eastAsiaTheme="minorEastAsia" w:cstheme="minorEastAsia"/>
          <w:color w:val="auto"/>
          <w:sz w:val="21"/>
          <w:szCs w:val="21"/>
          <w:highlight w:val="none"/>
          <w:lang w:val="en-US" w:eastAsia="zh-CN"/>
        </w:rPr>
        <w:t>92.52</w:t>
      </w:r>
      <w:r>
        <w:rPr>
          <w:rFonts w:hint="eastAsia" w:asciiTheme="minorEastAsia" w:hAnsiTheme="minorEastAsia" w:eastAsiaTheme="minorEastAsia" w:cstheme="minorEastAsia"/>
          <w:color w:val="auto"/>
          <w:sz w:val="21"/>
          <w:szCs w:val="21"/>
          <w:highlight w:val="none"/>
          <w:lang w:val="zh-TW" w:eastAsia="zh-TW"/>
        </w:rPr>
        <w:t>分，绩效评级为</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en-US" w:eastAsia="zh-CN"/>
        </w:rPr>
        <w:t>优</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。各部分权重和绩效分值如下表</w:t>
      </w:r>
      <w:r>
        <w:rPr>
          <w:rFonts w:hint="eastAsia" w:asciiTheme="minorEastAsia" w:hAnsiTheme="minorEastAsia" w:cstheme="minorEastAsia"/>
          <w:color w:val="auto"/>
          <w:sz w:val="21"/>
          <w:szCs w:val="21"/>
          <w:highlight w:val="none"/>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ascii="黑体" w:hAnsi="黑体" w:eastAsia="黑体" w:cs="黑体"/>
          <w:color w:val="auto"/>
        </w:rPr>
      </w:pPr>
      <w:r>
        <w:rPr>
          <w:rFonts w:hint="eastAsia" w:ascii="黑体" w:hAnsi="黑体" w:eastAsia="黑体" w:cs="黑体"/>
          <w:b/>
          <w:bCs/>
          <w:color w:val="auto"/>
          <w:lang w:val="zh-TW" w:eastAsia="zh-TW"/>
        </w:rPr>
        <w:t>表</w:t>
      </w:r>
      <w:r>
        <w:rPr>
          <w:rFonts w:hint="eastAsia" w:ascii="黑体" w:hAnsi="黑体" w:eastAsia="黑体" w:cs="黑体"/>
          <w:b/>
          <w:bCs/>
          <w:color w:val="auto"/>
          <w:lang w:val="en-US" w:eastAsia="zh-CN"/>
        </w:rPr>
        <w:t>4</w:t>
      </w:r>
      <w:r>
        <w:rPr>
          <w:rFonts w:hint="eastAsia" w:ascii="黑体" w:hAnsi="黑体" w:eastAsia="黑体" w:cs="黑体"/>
          <w:b/>
          <w:bCs/>
          <w:color w:val="auto"/>
          <w:lang w:val="zh-TW" w:eastAsia="zh-TW"/>
        </w:rPr>
        <w:t>-1</w:t>
      </w:r>
      <w:r>
        <w:rPr>
          <w:rFonts w:hint="eastAsia" w:ascii="黑体" w:hAnsi="黑体" w:eastAsia="黑体" w:cs="黑体"/>
          <w:b/>
          <w:bCs/>
          <w:color w:val="auto"/>
          <w:lang w:val="zh-TW"/>
        </w:rPr>
        <w:t>：</w:t>
      </w:r>
      <w:r>
        <w:rPr>
          <w:rFonts w:hint="eastAsia" w:ascii="黑体" w:hAnsi="黑体" w:eastAsia="黑体" w:cs="黑体"/>
          <w:b/>
          <w:bCs/>
          <w:color w:val="auto"/>
          <w:lang w:val="en-US" w:eastAsia="zh-CN"/>
        </w:rPr>
        <w:t>2024年中央林业草原生态保护恢复资金（森林保护修复）项目</w:t>
      </w:r>
      <w:r>
        <w:rPr>
          <w:rFonts w:hint="eastAsia" w:ascii="黑体" w:hAnsi="黑体" w:eastAsia="黑体" w:cs="黑体"/>
          <w:b/>
          <w:bCs/>
          <w:color w:val="auto"/>
          <w:lang w:val="zh-TW"/>
        </w:rPr>
        <w:t>得分表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25</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30</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9</w:t>
            </w:r>
            <w:r>
              <w:rPr>
                <w:rFonts w:hint="eastAsia" w:hAnsi="Times New Roman" w:eastAsia="宋体" w:cs="Times New Roman"/>
                <w:color w:val="auto"/>
                <w:sz w:val="21"/>
                <w:szCs w:val="21"/>
                <w:lang w:eastAsia="zh-CN"/>
              </w:rPr>
              <w:t>.6</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21</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26.92</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int="eastAsia" w:hAnsi="Times New Roman" w:eastAsia="宋体" w:cs="Times New Roman"/>
                <w:color w:val="auto"/>
                <w:sz w:val="21"/>
                <w:szCs w:val="21"/>
                <w:lang w:eastAsia="zh-CN"/>
              </w:rPr>
            </w:pPr>
            <w:r>
              <w:rPr>
                <w:rFonts w:hint="eastAsia" w:hAnsi="Times New Roman" w:eastAsia="宋体" w:cs="Times New Roman"/>
                <w:color w:val="auto"/>
                <w:sz w:val="21"/>
                <w:szCs w:val="21"/>
              </w:rPr>
              <w:t>35</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92.52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96%</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84%</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89.73%</w:t>
            </w:r>
          </w:p>
        </w:tc>
        <w:tc>
          <w:tcPr>
            <w:tcW w:w="95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100%</w:t>
            </w:r>
          </w:p>
        </w:tc>
        <w:tc>
          <w:tcPr>
            <w:tcW w:w="66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eastAsia" w:hAnsi="Times New Roman" w:eastAsia="宋体" w:cs="Times New Roman"/>
                <w:color w:val="auto"/>
                <w:sz w:val="21"/>
                <w:szCs w:val="21"/>
              </w:rPr>
              <w:t>92.52%</w:t>
            </w:r>
          </w:p>
        </w:tc>
      </w:tr>
    </w:tbl>
    <w:p>
      <w:pPr>
        <w:pageBreakBefore w:val="0"/>
        <w:kinsoku/>
        <w:wordWrap/>
        <w:overflowPunct/>
        <w:topLinePunct w:val="0"/>
        <w:autoSpaceDE/>
        <w:autoSpaceDN/>
        <w:bidi w:val="0"/>
        <w:snapToGrid w:val="0"/>
        <w:spacing w:before="0" w:after="0" w:line="360" w:lineRule="auto"/>
        <w:ind w:firstLine="420"/>
        <w:rPr>
          <w:color w:val="auto"/>
        </w:rPr>
      </w:pPr>
    </w:p>
    <w:p>
      <w:pPr>
        <w:pStyle w:val="6"/>
        <w:pageBreakBefore w:val="0"/>
        <w:kinsoku/>
        <w:wordWrap/>
        <w:overflowPunct/>
        <w:topLinePunct w:val="0"/>
        <w:autoSpaceDE/>
        <w:autoSpaceDN/>
        <w:bidi w:val="0"/>
        <w:snapToGrid w:val="0"/>
        <w:spacing w:before="0" w:after="0" w:line="360" w:lineRule="auto"/>
        <w:ind w:firstLine="482"/>
        <w:rPr>
          <w:color w:val="auto"/>
        </w:rPr>
      </w:pPr>
      <w:bookmarkStart w:id="49" w:name="_Toc3835"/>
      <w:bookmarkStart w:id="50" w:name="_Toc19845"/>
      <w:r>
        <w:rPr>
          <w:rFonts w:hint="eastAsia"/>
          <w:color w:val="auto"/>
        </w:rPr>
        <w:t>（二）综合评价结论</w:t>
      </w:r>
      <w:bookmarkEnd w:id="49"/>
      <w:bookmarkEnd w:id="50"/>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评价分析，2024年中央林业草原生态保护恢复资金（森林保护修复）项目总体实施情况良好，项目组织比较规范，目标完成情况良好，实现了对管护员业务工作培训、聘请第三方开展森林督查等指标的预期目标。但在实施过程中也存在一些不足：合同文本要素不完整、</w:t>
      </w:r>
      <w:r>
        <w:rPr>
          <w:rFonts w:hint="eastAsia" w:asciiTheme="minorEastAsia" w:hAnsiTheme="minorEastAsia" w:eastAsiaTheme="minorEastAsia" w:cstheme="minorEastAsia"/>
          <w:color w:val="auto"/>
          <w:sz w:val="21"/>
          <w:szCs w:val="21"/>
          <w:highlight w:val="none"/>
          <w:lang w:val="en-US" w:eastAsia="zh-CN"/>
        </w:rPr>
        <w:t>绩效目标表中</w:t>
      </w:r>
      <w:r>
        <w:rPr>
          <w:rFonts w:hint="eastAsia" w:asciiTheme="minorEastAsia" w:hAnsiTheme="minorEastAsia" w:eastAsiaTheme="minorEastAsia" w:cstheme="minorEastAsia"/>
          <w:color w:val="auto"/>
          <w:sz w:val="21"/>
          <w:szCs w:val="21"/>
          <w:highlight w:val="none"/>
          <w:lang w:val="zh-TW" w:eastAsia="zh-TW"/>
        </w:rPr>
        <w:t>投资预算未细化、项目执行存在实质性偏差、单位内部审批资金的拨付缺乏完整的审批程序和手续等问题。</w:t>
      </w:r>
    </w:p>
    <w:p>
      <w:pPr>
        <w:pStyle w:val="5"/>
        <w:pageBreakBefore w:val="0"/>
        <w:kinsoku/>
        <w:wordWrap/>
        <w:overflowPunct/>
        <w:topLinePunct w:val="0"/>
        <w:autoSpaceDE/>
        <w:autoSpaceDN/>
        <w:bidi w:val="0"/>
        <w:snapToGrid w:val="0"/>
        <w:spacing w:before="0" w:after="0" w:line="360" w:lineRule="auto"/>
        <w:ind w:firstLine="482"/>
        <w:rPr>
          <w:color w:val="auto"/>
        </w:rPr>
      </w:pPr>
      <w:bookmarkStart w:id="51" w:name="_Toc5002"/>
      <w:r>
        <w:rPr>
          <w:rFonts w:hint="eastAsia"/>
          <w:color w:val="auto"/>
        </w:rPr>
        <w:t>五</w:t>
      </w:r>
      <w:r>
        <w:rPr>
          <w:color w:val="auto"/>
        </w:rPr>
        <w:t>、绩效评价指标分析</w:t>
      </w:r>
      <w:bookmarkEnd w:id="47"/>
      <w:bookmarkEnd w:id="48"/>
      <w:bookmarkEnd w:id="51"/>
    </w:p>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52" w:name="_Toc18078"/>
      <w:bookmarkStart w:id="53" w:name="_Toc22260"/>
      <w:bookmarkStart w:id="54" w:name="_Toc2714"/>
      <w:r>
        <w:rPr>
          <w:rFonts w:ascii="Times New Roman" w:hAnsi="Times New Roman"/>
          <w:color w:val="auto"/>
        </w:rPr>
        <w:t>（一）项目决策情况</w:t>
      </w:r>
      <w:bookmarkEnd w:id="52"/>
      <w:bookmarkEnd w:id="53"/>
      <w:bookmarkEnd w:id="54"/>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TW"/>
        </w:rPr>
        <w:t>项目决策类指标由3个二级指标和6个三级指标构成，权重分10分，实际得分9</w:t>
      </w:r>
      <w:r>
        <w:rPr>
          <w:rFonts w:hint="eastAsia" w:asciiTheme="minorEastAsia" w:hAnsiTheme="minorEastAsia" w:cstheme="minorEastAsia"/>
          <w:color w:val="auto"/>
          <w:sz w:val="21"/>
          <w:szCs w:val="21"/>
          <w:highlight w:val="none"/>
          <w:lang w:val="zh-TW" w:eastAsia="zh-CN"/>
        </w:rPr>
        <w:t>.6</w:t>
      </w:r>
      <w:r>
        <w:rPr>
          <w:rFonts w:hint="eastAsia" w:asciiTheme="minorEastAsia" w:hAnsiTheme="minorEastAsia" w:eastAsiaTheme="minorEastAsia" w:cstheme="minorEastAsia"/>
          <w:color w:val="auto"/>
          <w:sz w:val="21"/>
          <w:szCs w:val="21"/>
          <w:highlight w:val="none"/>
          <w:lang w:val="zh-TW" w:eastAsia="zh-TW"/>
        </w:rPr>
        <w:t>分，得分率为96%。各指标业绩值和绩效分值如下表所示</w:t>
      </w:r>
      <w:r>
        <w:rPr>
          <w:rFonts w:hint="eastAsia" w:asciiTheme="minorEastAsia" w:hAnsiTheme="minorEastAsia" w:cstheme="minorEastAsia"/>
          <w:color w:val="auto"/>
          <w:sz w:val="21"/>
          <w:szCs w:val="21"/>
          <w:highlight w:val="none"/>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b/>
          <w:bCs/>
          <w:color w:val="auto"/>
          <w:szCs w:val="16"/>
        </w:rPr>
      </w:pPr>
      <w:r>
        <w:rPr>
          <w:b/>
          <w:bCs/>
          <w:color w:val="auto"/>
          <w:szCs w:val="16"/>
        </w:rPr>
        <w:t>表</w:t>
      </w:r>
      <w:r>
        <w:rPr>
          <w:rFonts w:hint="eastAsia"/>
          <w:b/>
          <w:bCs/>
          <w:color w:val="auto"/>
          <w:szCs w:val="16"/>
          <w:lang w:val="en-US" w:eastAsia="zh-CN"/>
        </w:rPr>
        <w:t>5</w:t>
      </w:r>
      <w:r>
        <w:rPr>
          <w:b/>
          <w:bCs/>
          <w:color w:val="auto"/>
          <w:szCs w:val="16"/>
        </w:rPr>
        <w:t>-1：项目决策类指标及分值</w:t>
      </w:r>
    </w:p>
    <w:tbl>
      <w:tblPr>
        <w:tblStyle w:val="18"/>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r>
              <w:rPr>
                <w:rFonts w:hint="eastAsia"/>
                <w:color w:val="auto"/>
                <w:kern w:val="0"/>
                <w:sz w:val="20"/>
                <w:szCs w:val="20"/>
                <w:lang w:bidi="ar"/>
              </w:rPr>
              <w:t>A决策（10分）</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A1项目立项（3分）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A11立项依据充分性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充分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color w:val="auto"/>
                <w:kern w:val="0"/>
                <w:sz w:val="20"/>
                <w:szCs w:val="20"/>
                <w:lang w:val="en-US" w:eastAsia="zh-CN" w:bidi="ar"/>
              </w:rPr>
            </w:pPr>
            <w:r>
              <w:rPr>
                <w:rFonts w:hint="eastAsia"/>
                <w:color w:val="auto"/>
                <w:kern w:val="0"/>
                <w:sz w:val="20"/>
                <w:szCs w:val="20"/>
                <w:lang w:val="en-US" w:eastAsia="zh-CN" w:bidi="ar"/>
              </w:rPr>
              <w:t>充分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hint="eastAsia"/>
                <w:color w:val="auto"/>
                <w:kern w:val="0"/>
                <w:sz w:val="20"/>
                <w:szCs w:val="20"/>
                <w:lang w:bidi="ar"/>
              </w:rPr>
              <w:t>1</w:t>
            </w:r>
            <w:r>
              <w:rPr>
                <w:rFonts w:hint="eastAsia"/>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ascii="宋体"/>
                <w:color w:val="auto"/>
                <w:kern w:val="0"/>
                <w:sz w:val="20"/>
                <w:szCs w:val="20"/>
                <w:lang w:bidi="ar"/>
              </w:rPr>
              <w:t>1</w:t>
            </w:r>
            <w:r>
              <w:rPr>
                <w:rFonts w:hint="eastAsia" w:ascii="宋体"/>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A12立项程序规范性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合规</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color w:val="auto"/>
                <w:kern w:val="0"/>
                <w:sz w:val="20"/>
                <w:szCs w:val="20"/>
                <w:lang w:val="en-US" w:eastAsia="zh-CN" w:bidi="ar"/>
              </w:rPr>
            </w:pPr>
            <w:r>
              <w:rPr>
                <w:rFonts w:hint="eastAsia"/>
                <w:color w:val="auto"/>
                <w:kern w:val="0"/>
                <w:sz w:val="20"/>
                <w:szCs w:val="20"/>
                <w:lang w:val="en-US" w:eastAsia="zh-CN" w:bidi="ar"/>
              </w:rPr>
              <w:t>合规</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hint="eastAsia"/>
                <w:color w:val="auto"/>
                <w:kern w:val="0"/>
                <w:sz w:val="20"/>
                <w:szCs w:val="20"/>
                <w:lang w:bidi="ar"/>
              </w:rPr>
              <w:t>1</w:t>
            </w:r>
            <w:r>
              <w:rPr>
                <w:rFonts w:hint="eastAsia"/>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ascii="宋体"/>
                <w:color w:val="auto"/>
                <w:kern w:val="0"/>
                <w:sz w:val="20"/>
                <w:szCs w:val="20"/>
                <w:lang w:bidi="ar"/>
              </w:rPr>
              <w:t>1</w:t>
            </w:r>
            <w:r>
              <w:rPr>
                <w:rFonts w:hint="eastAsia" w:ascii="宋体"/>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A2绩效目标（4分）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A21绩效目标合理性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color w:val="auto"/>
                <w:kern w:val="0"/>
                <w:sz w:val="20"/>
                <w:szCs w:val="20"/>
                <w:lang w:val="en-US" w:eastAsia="zh-CN" w:bidi="ar"/>
              </w:rPr>
            </w:pPr>
            <w:r>
              <w:rPr>
                <w:rFonts w:hint="eastAsia"/>
                <w:color w:val="auto"/>
                <w:kern w:val="0"/>
                <w:sz w:val="20"/>
                <w:szCs w:val="20"/>
                <w:lang w:val="en-US" w:eastAsia="zh-CN" w:bidi="ar"/>
              </w:rPr>
              <w:t>较合理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hint="eastAsia"/>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ascii="宋体"/>
                <w:color w:val="auto"/>
                <w:kern w:val="0"/>
                <w:sz w:val="20"/>
                <w:szCs w:val="20"/>
                <w:lang w:bidi="ar"/>
              </w:rPr>
              <w:t>1</w:t>
            </w:r>
            <w:r>
              <w:rPr>
                <w:rFonts w:hint="eastAsia" w:ascii="宋体"/>
                <w:color w:val="auto"/>
                <w:kern w:val="0"/>
                <w:sz w:val="20"/>
                <w:szCs w:val="20"/>
                <w:lang w:eastAsia="zh-CN" w:bidi="ar"/>
              </w:rPr>
              <w:t>.6</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80%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A22绩效指标明确性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明确</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color w:val="auto"/>
                <w:kern w:val="0"/>
                <w:sz w:val="20"/>
                <w:szCs w:val="20"/>
                <w:lang w:val="en-US" w:eastAsia="zh-CN" w:bidi="ar"/>
              </w:rPr>
            </w:pPr>
            <w:r>
              <w:rPr>
                <w:rFonts w:hint="eastAsia"/>
                <w:color w:val="auto"/>
                <w:kern w:val="0"/>
                <w:sz w:val="20"/>
                <w:szCs w:val="20"/>
                <w:lang w:val="en-US" w:eastAsia="zh-CN" w:bidi="ar"/>
              </w:rPr>
              <w:t>明确</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hint="eastAsia"/>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ascii="宋体"/>
                <w:color w:val="auto"/>
                <w:kern w:val="0"/>
                <w:sz w:val="20"/>
                <w:szCs w:val="20"/>
                <w:lang w:bidi="ar"/>
              </w:rPr>
              <w:t>2</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A3资金投入（3分）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A31预算编制科学性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科学</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color w:val="auto"/>
                <w:kern w:val="0"/>
                <w:sz w:val="20"/>
                <w:szCs w:val="20"/>
                <w:lang w:val="en-US" w:eastAsia="zh-CN" w:bidi="ar"/>
              </w:rPr>
            </w:pPr>
            <w:r>
              <w:rPr>
                <w:rFonts w:hint="eastAsia"/>
                <w:color w:val="auto"/>
                <w:kern w:val="0"/>
                <w:sz w:val="20"/>
                <w:szCs w:val="20"/>
                <w:lang w:val="en-US" w:eastAsia="zh-CN" w:bidi="ar"/>
              </w:rPr>
              <w:t>科学</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hint="eastAsia"/>
                <w:color w:val="auto"/>
                <w:kern w:val="0"/>
                <w:sz w:val="20"/>
                <w:szCs w:val="20"/>
                <w:lang w:bidi="ar"/>
              </w:rPr>
              <w:t>1</w:t>
            </w:r>
            <w:r>
              <w:rPr>
                <w:rFonts w:hint="eastAsia"/>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ascii="宋体"/>
                <w:color w:val="auto"/>
                <w:kern w:val="0"/>
                <w:sz w:val="20"/>
                <w:szCs w:val="20"/>
                <w:lang w:bidi="ar"/>
              </w:rPr>
              <w:t>1</w:t>
            </w:r>
            <w:r>
              <w:rPr>
                <w:rFonts w:hint="eastAsia" w:ascii="宋体"/>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A32资金分配合理性</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合理</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color w:val="auto"/>
                <w:kern w:val="0"/>
                <w:sz w:val="20"/>
                <w:szCs w:val="20"/>
                <w:lang w:val="en-US" w:eastAsia="zh-CN" w:bidi="ar"/>
              </w:rPr>
            </w:pPr>
            <w:r>
              <w:rPr>
                <w:rFonts w:hint="eastAsia"/>
                <w:color w:val="auto"/>
                <w:kern w:val="0"/>
                <w:sz w:val="20"/>
                <w:szCs w:val="20"/>
                <w:lang w:val="en-US" w:eastAsia="zh-CN" w:bidi="ar"/>
              </w:rPr>
              <w:t>合理</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hint="eastAsia"/>
                <w:color w:val="auto"/>
                <w:kern w:val="0"/>
                <w:sz w:val="20"/>
                <w:szCs w:val="20"/>
                <w:lang w:bidi="ar"/>
              </w:rPr>
              <w:t>1</w:t>
            </w:r>
            <w:r>
              <w:rPr>
                <w:rFonts w:hint="eastAsia"/>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ascii="宋体"/>
                <w:color w:val="auto"/>
                <w:kern w:val="0"/>
                <w:sz w:val="20"/>
                <w:szCs w:val="20"/>
                <w:lang w:bidi="ar"/>
              </w:rPr>
              <w:t>1</w:t>
            </w:r>
            <w:r>
              <w:rPr>
                <w:rFonts w:hint="eastAsia" w:ascii="宋体"/>
                <w:color w:val="auto"/>
                <w:kern w:val="0"/>
                <w:sz w:val="20"/>
                <w:szCs w:val="20"/>
                <w:lang w:eastAsia="zh-CN" w:bidi="ar"/>
              </w:rPr>
              <w:t>.5</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100%</w:t>
            </w:r>
          </w:p>
        </w:tc>
      </w:tr>
      <w:tr>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color w:val="auto"/>
                <w:kern w:val="0"/>
                <w:sz w:val="20"/>
                <w:szCs w:val="20"/>
                <w:lang w:bidi="ar"/>
              </w:rPr>
            </w:pPr>
            <w:r>
              <w:rPr>
                <w:rFonts w:hint="eastAsia"/>
                <w:color w:val="auto"/>
                <w:kern w:val="0"/>
                <w:sz w:val="20"/>
                <w:szCs w:val="20"/>
                <w:lang w:bidi="ar"/>
              </w:rPr>
              <w:t>合计</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color w:val="auto"/>
                <w:kern w:val="0"/>
                <w:sz w:val="20"/>
                <w:szCs w:val="20"/>
                <w:lang w:val="en-US" w:eastAsia="zh-CN" w:bidi="ar"/>
              </w:rPr>
            </w:pP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hint="eastAsia"/>
                <w:color w:val="auto"/>
                <w:kern w:val="0"/>
                <w:sz w:val="20"/>
                <w:szCs w:val="20"/>
                <w:lang w:bidi="ar"/>
              </w:rPr>
              <w:t>10</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cs="宋体" w:eastAsiaTheme="minorEastAsia"/>
                <w:color w:val="auto"/>
                <w:kern w:val="0"/>
                <w:sz w:val="20"/>
                <w:szCs w:val="20"/>
                <w:lang w:eastAsia="zh-CN" w:bidi="ar"/>
              </w:rPr>
            </w:pPr>
            <w:r>
              <w:rPr>
                <w:rFonts w:ascii="宋体"/>
                <w:color w:val="auto"/>
                <w:kern w:val="0"/>
                <w:sz w:val="20"/>
                <w:szCs w:val="20"/>
                <w:lang w:bidi="ar"/>
              </w:rPr>
              <w:t>9</w:t>
            </w:r>
            <w:r>
              <w:rPr>
                <w:rFonts w:hint="eastAsia" w:ascii="宋体"/>
                <w:color w:val="auto"/>
                <w:kern w:val="0"/>
                <w:sz w:val="20"/>
                <w:szCs w:val="20"/>
                <w:lang w:eastAsia="zh-CN" w:bidi="ar"/>
              </w:rPr>
              <w:t>.6</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color w:val="auto"/>
                <w:kern w:val="0"/>
                <w:sz w:val="20"/>
                <w:szCs w:val="20"/>
                <w:lang w:bidi="ar"/>
              </w:rPr>
            </w:pPr>
            <w:r>
              <w:rPr>
                <w:rFonts w:hint="eastAsia"/>
                <w:color w:val="auto"/>
                <w:kern w:val="0"/>
                <w:sz w:val="20"/>
                <w:szCs w:val="20"/>
                <w:lang w:bidi="ar"/>
              </w:rPr>
              <w:t>96%</w:t>
            </w:r>
          </w:p>
        </w:tc>
      </w:tr>
    </w:tbl>
    <w:p>
      <w:pPr>
        <w:pageBreakBefore w:val="0"/>
        <w:kinsoku/>
        <w:wordWrap/>
        <w:overflowPunct/>
        <w:topLinePunct w:val="0"/>
        <w:autoSpaceDE/>
        <w:autoSpaceDN/>
        <w:bidi w:val="0"/>
        <w:snapToGrid w:val="0"/>
        <w:spacing w:before="0" w:after="0" w:line="240" w:lineRule="auto"/>
        <w:ind w:firstLine="422"/>
        <w:rPr>
          <w:rFonts w:eastAsia="宋体"/>
          <w:b/>
          <w:bCs/>
          <w:color w:val="auto"/>
        </w:rPr>
      </w:pPr>
    </w:p>
    <w:p>
      <w:pPr>
        <w:pageBreakBefore w:val="0"/>
        <w:kinsoku/>
        <w:wordWrap/>
        <w:overflowPunct/>
        <w:topLinePunct w:val="0"/>
        <w:autoSpaceDE/>
        <w:autoSpaceDN/>
        <w:bidi w:val="0"/>
        <w:snapToGrid w:val="0"/>
        <w:spacing w:before="0" w:after="0" w:line="240" w:lineRule="auto"/>
        <w:ind w:firstLine="422"/>
        <w:rPr>
          <w:b/>
          <w:bCs/>
          <w:color w:val="auto"/>
        </w:rPr>
      </w:pPr>
      <w:r>
        <w:rPr>
          <w:rFonts w:eastAsia="宋体"/>
          <w:b/>
          <w:bCs/>
          <w:color w:val="auto"/>
        </w:rPr>
        <w:t>指标得分分析</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w:t>
      </w:r>
      <w:r>
        <w:rPr>
          <w:rFonts w:hint="eastAsia"/>
          <w:b/>
          <w:bCs/>
          <w:color w:val="auto"/>
        </w:rPr>
        <w:t>A11立项依据充分性指标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项目立项符合《国家林业和草原局关于全面实施森林资源保护发展目标责任制的通知》（林资发〔2021〕15号）中</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加强森林资源保护修复，完善生态补偿机制，重点支持天然林保护、退化林修复和生物灾害防治</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的文件要求，项目立项符合国家法律法规、国民经济发展规划和相关政策。</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项目立项符合《全国重要生态系统保护和修复重大工程总体规划（2021-2035年）》中</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开展水生态保护修复，实施流域水资源统一管理。推进塔里木盆地南缘防沙治沙，强化沙化土地封禁管护。加强荒漠天然植被保护和生态公益林管护，开展退耕还林还草和土地综合整治，实施土地轮休和退地减水，建设重点区域防护林体系，对胡杨林进行特殊保护。</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的行业发展规划和政策要求。</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项目立项符合《关于印发&lt;巴楚县林业和草原局职能配置、内设机构和人员编制规定&gt;的通知》（巴党办〔2024〕20号）</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负责县森林、草原、湿地资源的监督管理；监督执行森林采伐限额；负责林地、草地管理，监督实施林地保护利用规划，指导国家级公益林划定和管理工作，管理国有林区的国有森林资源；负责草原禁牧、草畜平衡和草原生态修复治理工作，监督管理草原的开发利用；负责湿地生态保护修复工作，拟订湿地保护规划，监督管理湿地的开发利用</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这一部门职责，属于部门履职所需。</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项目资金性质为</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一般公共预算资金</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，功能分类科目为</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2130209森林生态效益补偿</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，根据《中华人民共和国预算法》属于公共财政支持范围。</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经查阅部门单位预决算公开文件，该项目不存在重复。</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分，根据评分标准得1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（2）</w:t>
      </w:r>
      <w:r>
        <w:rPr>
          <w:rFonts w:hint="eastAsia"/>
          <w:b/>
          <w:bCs/>
          <w:color w:val="auto"/>
        </w:rPr>
        <w:t>A12立项程序规范性指标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证，该项目为中央专项转移支付项目，根据《关于提前下达2024年中央林业草原生态保护恢复资金的通知》（喀地财建〔2023〕105号）和《关于预告知2024年中央林业草原生态保护恢复资金的通知》（巴财建〔2023〕43号）下达文件，确定专项下达预算525万元，其中，管护运行保障495万元，生态修复30万元，喀什地区巴楚县自然资源局制定《新疆维吾尔自治区巴楚县2024年中央财政林业草原改革发展资金森林保护修复项目实施方案》，向喀什地区林业和草原局递交，待审核审批通过后，将严格依照政府采购及财政资金管理相关规定，规范实施人员劳务薪酬支付及日常管护采购工作。该项目申报程序合规，资金使用符合《林业草原生态保护恢复资金管理办法》等政策要求，通过建立专业化管护队伍开展常态化巡护，可有效降低森林火灾、病虫害及盗伐风险，显著提升森林生态系统稳定性及生态服务功能。</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zh-TW" w:eastAsia="zh-TW"/>
        </w:rPr>
        <w:t>该指标满分为1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分，根据评分标准得1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w:t>
      </w:r>
      <w:r>
        <w:rPr>
          <w:rFonts w:hint="eastAsia" w:asciiTheme="minorEastAsia" w:hAnsiTheme="minorEastAsia" w:cstheme="minorEastAsia"/>
          <w:color w:val="auto"/>
          <w:sz w:val="21"/>
          <w:szCs w:val="21"/>
          <w:highlight w:val="none"/>
          <w:lang w:val="zh-TW" w:eastAsia="zh-CN"/>
        </w:rPr>
        <w:t>。</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（3）</w:t>
      </w:r>
      <w:r>
        <w:rPr>
          <w:rFonts w:hint="eastAsia"/>
          <w:b/>
          <w:bCs/>
          <w:color w:val="auto"/>
        </w:rPr>
        <w:t>A21绩效目标合理性指标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TW"/>
        </w:rPr>
        <w:t>经查证项目的《项目支出绩效目标表》，该项目有绩效目标，具体目标内容：</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项目总投资495万元，其中，管护人员劳务</w:t>
      </w:r>
      <w:r>
        <w:rPr>
          <w:rFonts w:hint="eastAsia" w:asciiTheme="minorEastAsia" w:hAnsiTheme="minorEastAsia" w:cstheme="minorEastAsia"/>
          <w:color w:val="auto"/>
          <w:sz w:val="21"/>
          <w:szCs w:val="21"/>
          <w:highlight w:val="none"/>
          <w:lang w:val="zh-TW" w:eastAsia="zh-CN"/>
        </w:rPr>
        <w:t>费</w:t>
      </w:r>
      <w:r>
        <w:rPr>
          <w:rFonts w:hint="eastAsia" w:asciiTheme="minorEastAsia" w:hAnsiTheme="minorEastAsia" w:eastAsiaTheme="minorEastAsia" w:cstheme="minorEastAsia"/>
          <w:color w:val="auto"/>
          <w:sz w:val="21"/>
          <w:szCs w:val="21"/>
          <w:highlight w:val="none"/>
          <w:lang w:val="zh-TW" w:eastAsia="zh-TW"/>
        </w:rPr>
        <w:t>467.12万元，用于82名公益林管护员的劳务报酬；日常管护27.88万元，用于保障64.51万亩国家级公益林的日常管护工作。开展2024年森林督查调查，规范有序推进森林保护和林业执法工作。</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但《项目支出绩效目标表》中未设定与森林督查调查有关的指标，指标设定缺乏明确性。根据评分标准，扣0</w:t>
      </w:r>
      <w:r>
        <w:rPr>
          <w:rFonts w:hint="eastAsia" w:asciiTheme="minorEastAsia" w:hAnsiTheme="minorEastAsia" w:cstheme="minorEastAsia"/>
          <w:color w:val="auto"/>
          <w:sz w:val="21"/>
          <w:szCs w:val="21"/>
          <w:highlight w:val="none"/>
          <w:lang w:val="zh-TW" w:eastAsia="zh-CN"/>
        </w:rPr>
        <w:t>.2</w:t>
      </w:r>
      <w:r>
        <w:rPr>
          <w:rFonts w:hint="eastAsia" w:asciiTheme="minorEastAsia" w:hAnsiTheme="minorEastAsia" w:eastAsiaTheme="minorEastAsia" w:cstheme="minorEastAsia"/>
          <w:color w:val="auto"/>
          <w:sz w:val="21"/>
          <w:szCs w:val="21"/>
          <w:highlight w:val="none"/>
          <w:lang w:val="zh-TW" w:eastAsia="zh-TW"/>
        </w:rPr>
        <w:t>分</w:t>
      </w:r>
      <w:r>
        <w:rPr>
          <w:rFonts w:hint="eastAsia" w:asciiTheme="minorEastAsia" w:hAnsiTheme="minorEastAsia" w:cstheme="minorEastAsia"/>
          <w:color w:val="auto"/>
          <w:sz w:val="21"/>
          <w:szCs w:val="21"/>
          <w:highlight w:val="none"/>
          <w:lang w:val="zh-TW" w:eastAsia="zh-CN"/>
        </w:rPr>
        <w:t>。</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经查证《新疆维吾尔自治区巴楚县2024年中央财政林业草原改革发展资金森林保护修复项目实施方案》显示，</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5月份开展一次集中培训学习、10月份开展一次集中培训学习</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，但根据绩效目标表中未设置培训工作次数，与实际工作内容缺乏相关性、一致性，根据评分标准，扣0</w:t>
      </w:r>
      <w:r>
        <w:rPr>
          <w:rFonts w:hint="eastAsia" w:asciiTheme="minorEastAsia" w:hAnsiTheme="minorEastAsia" w:cstheme="minorEastAsia"/>
          <w:color w:val="auto"/>
          <w:sz w:val="21"/>
          <w:szCs w:val="21"/>
          <w:highlight w:val="none"/>
          <w:lang w:val="zh-TW" w:eastAsia="zh-CN"/>
        </w:rPr>
        <w:t>.2</w:t>
      </w:r>
      <w:r>
        <w:rPr>
          <w:rFonts w:hint="eastAsia" w:asciiTheme="minorEastAsia" w:hAnsiTheme="minorEastAsia" w:eastAsiaTheme="minorEastAsia" w:cstheme="minorEastAsia"/>
          <w:color w:val="auto"/>
          <w:sz w:val="21"/>
          <w:szCs w:val="21"/>
          <w:highlight w:val="none"/>
          <w:lang w:val="zh-TW" w:eastAsia="zh-TW"/>
        </w:rPr>
        <w:t>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通过实施该项目，有效提升区域生态系统的稳定性和可持续性，通过构建科学化、规范化的森林资源管理体系，全面加强森林火灾预防、有害生物防控等生态安全保障能力建设，项目预计产出效益和效果符合正常的业绩水平。</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该项目的《项目支出绩效目标表》中的</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总投资495万元</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与《巴楚县自然资源局2024年中央林业草原生态保护恢复资金（森林保护修复）项目资金预算表》中的</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管护运行保障495万元</w:t>
      </w:r>
      <w:r>
        <w:rPr>
          <w:rFonts w:hint="eastAsia" w:asciiTheme="minorEastAsia" w:hAnsiTheme="minorEastAsia" w:eastAsiaTheme="minorEastAsia" w:cstheme="minorEastAsia"/>
          <w:color w:val="auto"/>
          <w:sz w:val="21"/>
          <w:szCs w:val="21"/>
          <w:highlight w:val="none"/>
          <w:lang w:val="zh-TW" w:eastAsia="zh-CN"/>
        </w:rPr>
        <w:t>”</w:t>
      </w:r>
      <w:r>
        <w:rPr>
          <w:rFonts w:hint="eastAsia" w:asciiTheme="minorEastAsia" w:hAnsiTheme="minorEastAsia" w:eastAsiaTheme="minorEastAsia" w:cstheme="minorEastAsia"/>
          <w:color w:val="auto"/>
          <w:sz w:val="21"/>
          <w:szCs w:val="21"/>
          <w:highlight w:val="none"/>
          <w:lang w:val="zh-TW" w:eastAsia="zh-TW"/>
        </w:rPr>
        <w:t>的金额一致，该项目绩效目标金额与预算确定的项目资金量相匹配。</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该指标满分为2分，根据评分标准得1</w:t>
      </w:r>
      <w:r>
        <w:rPr>
          <w:rFonts w:hint="eastAsia" w:asciiTheme="minorEastAsia" w:hAnsiTheme="minorEastAsia" w:cstheme="minorEastAsia"/>
          <w:color w:val="auto"/>
          <w:sz w:val="21"/>
          <w:szCs w:val="21"/>
          <w:highlight w:val="none"/>
          <w:lang w:val="zh-TW" w:eastAsia="zh-CN"/>
        </w:rPr>
        <w:t>.6</w:t>
      </w:r>
      <w:r>
        <w:rPr>
          <w:rFonts w:hint="eastAsia" w:asciiTheme="minorEastAsia" w:hAnsiTheme="minorEastAsia" w:eastAsiaTheme="minorEastAsia" w:cstheme="minorEastAsia"/>
          <w:color w:val="auto"/>
          <w:sz w:val="21"/>
          <w:szCs w:val="21"/>
          <w:highlight w:val="none"/>
          <w:lang w:val="zh-TW" w:eastAsia="zh-TW"/>
        </w:rPr>
        <w:t>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（4）</w:t>
      </w:r>
      <w:r>
        <w:rPr>
          <w:rFonts w:hint="eastAsia"/>
          <w:b/>
          <w:bCs/>
          <w:color w:val="auto"/>
        </w:rPr>
        <w:t>A22绩效指标明确性指标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根据《项目支出绩效目标表》可知，该项目有绩效目标。该项目共设立一级指标4个， 二级指标6个，三级指标9个，已将绩效目标细化分解为具体的绩效指标。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该项目共设置三级指标9个，其中定量指标7个，定性指标2个，指标量化率为77.78%，指标量化率大于70%，三级指标设置具有相关性、可实现性且量化易评。</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该指标满分为2分，根据评分标准得2分。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（5）</w:t>
      </w:r>
      <w:r>
        <w:rPr>
          <w:rFonts w:hint="eastAsia"/>
          <w:b/>
          <w:bCs/>
          <w:color w:val="auto"/>
        </w:rPr>
        <w:t>A31预算编制科学性指标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核查《新疆维吾尔自治区巴楚县2024年中央财政林业原改革发展资金森林保护修复项目实施方案》，分别对巴楚县林业管理站、下河国有林管理局和夏马勒国有林管理局实施单位进行项目预算编制，根据单位实际情况，仅对巴楚县林业管理站编制工作进行评价。根据喀什地区林业和草原局对实施方案的批复，巴楚县自然资源局管护运行保障预算资金495万元，且经过财政部门审核确定，单位项目预算投资额与上级资金批复及下达预算一致，预算计划编制经过论证且预算额度测算依据充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阅实施方案批复，资金请示、会议纪要、《合同》等资料，该项目实际工作内容为：缴纳管护人员1-12月工资薪酬，各公益林管护站水电费和灭火器年审费，一键报警器年度话费，购置82名管护员的意外保险，一批次原煤，公务用车保险，燃油费，及广告制作、宣传标语等工作。经与项目实施方案年初批复内容对比一致。</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分，根据评分标准得1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（6）</w:t>
      </w:r>
      <w:r>
        <w:rPr>
          <w:rFonts w:hint="eastAsia"/>
          <w:b/>
          <w:bCs/>
          <w:color w:val="auto"/>
        </w:rPr>
        <w:t>A32资金分配合理性指标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项目实际分配资金以《关于巴楚县2024年中央林业草原生态保护恢复资金（森林保护修复）项目实施方案的批复》（喀地林发字〔2024〕40号）中确定的预算表为依据进行资金分配，预算资金分配依据充分。项目实际到位资金495万元，实际分配资金与项目需求资金一致，资金分配额度合理，与项目实际需求相适应。</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分，根据评分标准得</w:t>
      </w:r>
      <w:r>
        <w:rPr>
          <w:rFonts w:hint="eastAsia" w:asciiTheme="minorEastAsia" w:hAnsiTheme="minorEastAsia" w:eastAsiaTheme="minorEastAsia" w:cstheme="minorEastAsia"/>
          <w:color w:val="auto"/>
          <w:sz w:val="21"/>
          <w:szCs w:val="21"/>
          <w:highlight w:val="none"/>
          <w:lang w:val="zh-TW" w:eastAsia="zh-CN"/>
        </w:rPr>
        <w:t>1</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w:t>
      </w:r>
    </w:p>
    <w:p>
      <w:pPr>
        <w:ind w:firstLine="422" w:firstLineChars="200"/>
        <w:jc w:val="center"/>
        <w:rPr>
          <w:rFonts w:hint="eastAsia" w:ascii="Times New Roman" w:hAnsi="Times New Roman" w:cs="Times New Roman"/>
          <w:b/>
          <w:bCs/>
          <w:color w:val="auto"/>
          <w:highlight w:val="none"/>
          <w:lang w:val="en-US" w:eastAsia="zh-CN"/>
        </w:rPr>
      </w:pPr>
      <w:r>
        <w:rPr>
          <w:rFonts w:hint="eastAsia" w:ascii="Times New Roman" w:hAnsi="Times New Roman" w:cs="Times New Roman"/>
          <w:b/>
          <w:bCs/>
          <w:color w:val="auto"/>
          <w:highlight w:val="none"/>
          <w:lang w:val="en-US" w:eastAsia="zh-CN"/>
        </w:rPr>
        <w:t>表1-</w:t>
      </w:r>
      <w:r>
        <w:rPr>
          <w:rFonts w:hint="eastAsia" w:cs="Times New Roman"/>
          <w:b/>
          <w:bCs/>
          <w:color w:val="auto"/>
          <w:highlight w:val="none"/>
          <w:lang w:val="en-US" w:eastAsia="zh-CN"/>
        </w:rPr>
        <w:t>2</w:t>
      </w:r>
      <w:r>
        <w:rPr>
          <w:rFonts w:hint="eastAsia" w:ascii="Times New Roman" w:hAnsi="Times New Roman" w:cs="Times New Roman"/>
          <w:b/>
          <w:bCs/>
          <w:color w:val="auto"/>
          <w:highlight w:val="none"/>
          <w:lang w:val="en-US" w:eastAsia="zh-CN"/>
        </w:rPr>
        <w:t>：</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项目费用</w:t>
      </w:r>
      <w:r>
        <w:rPr>
          <w:rFonts w:hint="eastAsia" w:ascii="Times New Roman" w:hAnsi="Times New Roman" w:cs="Times New Roman"/>
          <w:b/>
          <w:bCs/>
          <w:color w:val="auto"/>
          <w:highlight w:val="none"/>
          <w:lang w:val="en-US" w:eastAsia="zh-CN"/>
        </w:rPr>
        <w:t>支出明细表</w:t>
      </w:r>
    </w:p>
    <w:tbl>
      <w:tblPr>
        <w:tblStyle w:val="18"/>
        <w:tblW w:w="8293"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9"/>
        <w:gridCol w:w="392"/>
        <w:gridCol w:w="1683"/>
        <w:gridCol w:w="975"/>
        <w:gridCol w:w="625"/>
        <w:gridCol w:w="1086"/>
        <w:gridCol w:w="757"/>
        <w:gridCol w:w="622"/>
        <w:gridCol w:w="800"/>
        <w:gridCol w:w="8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序号</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月份</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费用类型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计划发放人次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退休人次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sz w:val="16"/>
                <w:szCs w:val="16"/>
                <w:highlight w:val="none"/>
                <w:u w:val="none"/>
              </w:rPr>
              <w:t>支付资金的请示金额</w:t>
            </w:r>
          </w:p>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sz w:val="16"/>
                <w:szCs w:val="16"/>
                <w:highlight w:val="none"/>
                <w:u w:val="none"/>
              </w:rPr>
              <w:t>（万元）</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实际发放人次</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退休人次</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执行数（万元）</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bidi="ar"/>
              </w:rPr>
            </w:pPr>
            <w:r>
              <w:rPr>
                <w:rFonts w:hint="eastAsia" w:ascii="宋体" w:hAnsi="宋体" w:eastAsia="宋体" w:cs="宋体"/>
                <w:i w:val="0"/>
                <w:iCs w:val="0"/>
                <w:color w:val="auto"/>
                <w:kern w:val="0"/>
                <w:sz w:val="16"/>
                <w:szCs w:val="16"/>
                <w:highlight w:val="none"/>
                <w:u w:val="none"/>
                <w:lang w:val="en-US" w:eastAsia="zh-CN" w:bidi="ar"/>
              </w:rPr>
              <w:t>1</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34.63</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4</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第一季度绩效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12.3</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9.1</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5</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水电费</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13"/>
                <w:szCs w:val="13"/>
                <w:highlight w:val="none"/>
                <w:u w:val="none"/>
                <w:lang w:bidi="ar"/>
              </w:rPr>
            </w:pPr>
            <w:r>
              <w:rPr>
                <w:rFonts w:hint="eastAsia" w:ascii="宋体" w:hAnsi="宋体" w:eastAsia="宋体" w:cs="宋体"/>
                <w:i w:val="0"/>
                <w:iCs w:val="0"/>
                <w:color w:val="auto"/>
                <w:kern w:val="0"/>
                <w:sz w:val="13"/>
                <w:szCs w:val="13"/>
                <w:highlight w:val="none"/>
                <w:u w:val="none"/>
                <w:lang w:val="en-US" w:eastAsia="zh-CN" w:bidi="ar"/>
              </w:rPr>
              <w:t>10个管护站</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w:t>
            </w:r>
          </w:p>
        </w:tc>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13"/>
                <w:szCs w:val="13"/>
                <w:highlight w:val="none"/>
                <w:u w:val="none"/>
                <w:lang w:bidi="ar"/>
              </w:rPr>
            </w:pPr>
            <w:r>
              <w:rPr>
                <w:rFonts w:hint="eastAsia" w:ascii="宋体" w:hAnsi="宋体" w:eastAsia="宋体" w:cs="宋体"/>
                <w:i w:val="0"/>
                <w:iCs w:val="0"/>
                <w:color w:val="auto"/>
                <w:kern w:val="0"/>
                <w:sz w:val="13"/>
                <w:szCs w:val="13"/>
                <w:highlight w:val="none"/>
                <w:u w:val="none"/>
                <w:lang w:val="en-US" w:eastAsia="zh-CN" w:bidi="ar"/>
              </w:rPr>
              <w:t>10个管护站</w:t>
            </w:r>
          </w:p>
        </w:tc>
        <w:tc>
          <w:tcPr>
            <w:tcW w:w="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4</w:t>
            </w:r>
          </w:p>
        </w:tc>
        <w:tc>
          <w:tcPr>
            <w:tcW w:w="1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w:t>
            </w:r>
          </w:p>
        </w:tc>
        <w:tc>
          <w:tcPr>
            <w:tcW w:w="89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7</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4月管护员工资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8</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报警器年度话费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3"/>
                <w:szCs w:val="13"/>
                <w:highlight w:val="none"/>
                <w:u w:val="none"/>
              </w:rPr>
            </w:pPr>
            <w:r>
              <w:rPr>
                <w:rFonts w:hint="eastAsia" w:ascii="宋体" w:hAnsi="宋体" w:eastAsia="宋体" w:cs="宋体"/>
                <w:i w:val="0"/>
                <w:iCs w:val="0"/>
                <w:color w:val="auto"/>
                <w:kern w:val="0"/>
                <w:sz w:val="13"/>
                <w:szCs w:val="13"/>
                <w:highlight w:val="none"/>
                <w:u w:val="none"/>
                <w:lang w:val="en-US" w:eastAsia="zh-CN" w:bidi="ar"/>
              </w:rPr>
              <w:t>2023年10个管护站话费</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3"/>
                <w:szCs w:val="13"/>
                <w:highlight w:val="none"/>
                <w:u w:val="none"/>
                <w:lang w:val="en-US" w:eastAsia="zh-CN" w:bidi="ar"/>
              </w:rPr>
              <w:t>2023年10个管护站话费</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0.48</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9</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意外保险</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3.28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w:t>
            </w:r>
          </w:p>
        </w:tc>
        <w:tc>
          <w:tcPr>
            <w:tcW w:w="1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3.28</w:t>
            </w:r>
          </w:p>
        </w:tc>
        <w:tc>
          <w:tcPr>
            <w:tcW w:w="89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11</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34.36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12</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培训费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13</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34.93</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14</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第二季度绩效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10.11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9.79</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96.83%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15</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7</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7月管护员工资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34.77</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16</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5"/>
                <w:szCs w:val="15"/>
                <w:highlight w:val="none"/>
                <w:u w:val="none"/>
                <w:lang w:val="en-US" w:eastAsia="zh-CN" w:bidi="ar"/>
              </w:rPr>
              <w:t>2024年宣传牌面更新印刷费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3"/>
                <w:szCs w:val="13"/>
                <w:highlight w:val="none"/>
                <w:u w:val="none"/>
                <w:lang w:val="en-US" w:eastAsia="zh-CN" w:bidi="ar"/>
              </w:rPr>
              <w:t>政采云采购</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17</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2024年各管护站灭火器需要年审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0.5</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0.5</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18</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第二批培训费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19</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20</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取暖费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煤炭</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s原煤</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21</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日常管护用印刷制品</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22</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42.25</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42.25</w:t>
            </w:r>
          </w:p>
        </w:tc>
        <w:tc>
          <w:tcPr>
            <w:tcW w:w="89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b w:val="0"/>
                <w:bCs w:val="0"/>
                <w:i w:val="0"/>
                <w:iCs w:val="0"/>
                <w:color w:val="auto"/>
                <w:sz w:val="16"/>
                <w:szCs w:val="16"/>
                <w:highlight w:val="none"/>
                <w:u w:val="none"/>
                <w:lang w:val="en-US" w:eastAsia="zh-CN"/>
              </w:rPr>
            </w:pPr>
            <w:r>
              <w:rPr>
                <w:rFonts w:hint="eastAsia" w:ascii="宋体" w:hAnsi="宋体" w:eastAsia="宋体" w:cs="宋体"/>
                <w:b w:val="0"/>
                <w:bCs w:val="0"/>
                <w:i w:val="0"/>
                <w:iCs w:val="0"/>
                <w:color w:val="auto"/>
                <w:sz w:val="16"/>
                <w:szCs w:val="16"/>
                <w:highlight w:val="none"/>
                <w:u w:val="none"/>
                <w:lang w:val="en-US" w:eastAsia="zh-CN"/>
              </w:rPr>
              <w:t>23</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b w:val="0"/>
                <w:bCs w:val="0"/>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第二季度绩效工资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9.69</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9.69</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24</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10</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35.66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35.66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459" w:type="dxa"/>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25</w:t>
            </w:r>
          </w:p>
        </w:tc>
        <w:tc>
          <w:tcPr>
            <w:tcW w:w="392"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vMerge w:val="restart"/>
            <w:tcBorders>
              <w:top w:val="single" w:color="000000"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森林消防等管护用车运行维护费</w:t>
            </w: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3"/>
                <w:szCs w:val="13"/>
                <w:highlight w:val="none"/>
                <w:u w:val="none"/>
                <w:lang w:val="en-US" w:eastAsia="zh-CN" w:bidi="ar"/>
              </w:rPr>
              <w:t>公务用车保险</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13"/>
                <w:szCs w:val="13"/>
                <w:highlight w:val="none"/>
                <w:u w:val="none"/>
                <w:lang w:bidi="ar"/>
              </w:rPr>
            </w:pPr>
            <w:r>
              <w:rPr>
                <w:rFonts w:hint="eastAsia" w:ascii="宋体" w:hAnsi="宋体" w:eastAsia="宋体" w:cs="宋体"/>
                <w:i w:val="0"/>
                <w:iCs w:val="0"/>
                <w:color w:val="auto"/>
                <w:kern w:val="0"/>
                <w:sz w:val="13"/>
                <w:szCs w:val="13"/>
                <w:highlight w:val="none"/>
                <w:u w:val="none"/>
                <w:lang w:val="en-US" w:eastAsia="zh-CN" w:bidi="ar"/>
              </w:rPr>
              <w:t>2辆公务用车保险</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0.75</w:t>
            </w:r>
          </w:p>
        </w:tc>
        <w:tc>
          <w:tcPr>
            <w:tcW w:w="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5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26</w:t>
            </w:r>
          </w:p>
        </w:tc>
        <w:tc>
          <w:tcPr>
            <w:tcW w:w="3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燃油费</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auto"/>
                <w:sz w:val="16"/>
                <w:szCs w:val="16"/>
                <w:highlight w:val="none"/>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燃油费</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w:t>
            </w:r>
          </w:p>
        </w:tc>
        <w:tc>
          <w:tcPr>
            <w:tcW w:w="89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 w:hRule="atLeast"/>
        </w:trPr>
        <w:tc>
          <w:tcPr>
            <w:tcW w:w="45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27</w:t>
            </w:r>
          </w:p>
        </w:tc>
        <w:tc>
          <w:tcPr>
            <w:tcW w:w="3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11</w:t>
            </w:r>
          </w:p>
        </w:tc>
        <w:tc>
          <w:tcPr>
            <w:tcW w:w="16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11月管护员工资</w:t>
            </w:r>
          </w:p>
        </w:tc>
        <w:tc>
          <w:tcPr>
            <w:tcW w:w="975" w:type="dxa"/>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35.49</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35.49</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 w:hRule="atLeast"/>
        </w:trPr>
        <w:tc>
          <w:tcPr>
            <w:tcW w:w="459" w:type="dxa"/>
            <w:tcBorders>
              <w:top w:val="single" w:color="auto" w:sz="4" w:space="0"/>
              <w:left w:val="single" w:color="000000" w:sz="4" w:space="0"/>
              <w:bottom w:val="nil"/>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28</w:t>
            </w:r>
          </w:p>
        </w:tc>
        <w:tc>
          <w:tcPr>
            <w:tcW w:w="392" w:type="dxa"/>
            <w:tcBorders>
              <w:top w:val="single" w:color="auto" w:sz="4" w:space="0"/>
              <w:left w:val="single" w:color="000000" w:sz="4" w:space="0"/>
              <w:bottom w:val="nil"/>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11</w:t>
            </w:r>
          </w:p>
        </w:tc>
        <w:tc>
          <w:tcPr>
            <w:tcW w:w="1683" w:type="dxa"/>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2024年森林督查调查费用</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7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29</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12</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12月管护员工资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35.26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35.26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30</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第四季度绩效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9.72</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9.72</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41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合计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496.26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b/>
                <w:bCs/>
                <w:i w:val="0"/>
                <w:iCs w:val="0"/>
                <w:color w:val="auto"/>
                <w:sz w:val="18"/>
                <w:szCs w:val="18"/>
                <w:highlight w:val="none"/>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b/>
                <w:bCs/>
                <w:i w:val="0"/>
                <w:iCs w:val="0"/>
                <w:color w:val="auto"/>
                <w:sz w:val="18"/>
                <w:szCs w:val="18"/>
                <w:highlight w:val="none"/>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482.08</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97.14%</w:t>
            </w:r>
          </w:p>
        </w:tc>
      </w:tr>
    </w:tbl>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55" w:name="_Toc25310"/>
    </w:p>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r>
        <w:rPr>
          <w:rFonts w:ascii="Times New Roman" w:hAnsi="Times New Roman"/>
          <w:color w:val="auto"/>
        </w:rPr>
        <w:t>（二）项目过程情况</w:t>
      </w:r>
      <w:bookmarkEnd w:id="55"/>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TW"/>
        </w:rPr>
        <w:t>项目过程类指标由</w:t>
      </w:r>
      <w:r>
        <w:rPr>
          <w:rFonts w:hint="eastAsia" w:asciiTheme="minorEastAsia" w:hAnsiTheme="minorEastAsia" w:eastAsiaTheme="minorEastAsia" w:cstheme="minorEastAsia"/>
          <w:color w:val="auto"/>
          <w:sz w:val="21"/>
          <w:szCs w:val="21"/>
          <w:highlight w:val="none"/>
          <w:lang w:val="zh-TW" w:eastAsia="zh-CN"/>
        </w:rPr>
        <w:t>2</w:t>
      </w:r>
      <w:r>
        <w:rPr>
          <w:rFonts w:hint="eastAsia" w:asciiTheme="minorEastAsia" w:hAnsiTheme="minorEastAsia" w:eastAsiaTheme="minorEastAsia" w:cstheme="minorEastAsia"/>
          <w:color w:val="auto"/>
          <w:sz w:val="21"/>
          <w:szCs w:val="21"/>
          <w:highlight w:val="none"/>
          <w:lang w:val="zh-TW" w:eastAsia="zh-TW"/>
        </w:rPr>
        <w:t>个二级指标和</w:t>
      </w:r>
      <w:r>
        <w:rPr>
          <w:rFonts w:hint="eastAsia" w:asciiTheme="minorEastAsia" w:hAnsiTheme="minorEastAsia" w:eastAsia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个三级指标构成，权重分</w:t>
      </w:r>
      <w:r>
        <w:rPr>
          <w:rFonts w:hint="eastAsia" w:asciiTheme="minorEastAsia" w:hAnsiTheme="minorEastAsia" w:eastAsiaTheme="minorEastAsia" w:cstheme="minorEastAsia"/>
          <w:color w:val="auto"/>
          <w:sz w:val="21"/>
          <w:szCs w:val="21"/>
          <w:highlight w:val="none"/>
          <w:lang w:val="zh-TW" w:eastAsia="zh-CN"/>
        </w:rPr>
        <w:t>25</w:t>
      </w:r>
      <w:r>
        <w:rPr>
          <w:rFonts w:hint="eastAsia" w:asciiTheme="minorEastAsia" w:hAnsiTheme="minorEastAsia" w:eastAsiaTheme="minorEastAsia" w:cstheme="minorEastAsia"/>
          <w:color w:val="auto"/>
          <w:sz w:val="21"/>
          <w:szCs w:val="21"/>
          <w:highlight w:val="none"/>
          <w:lang w:val="zh-TW" w:eastAsia="zh-TW"/>
        </w:rPr>
        <w:t>分，实际得分</w:t>
      </w:r>
      <w:r>
        <w:rPr>
          <w:rFonts w:hint="eastAsia" w:asciiTheme="minorEastAsia" w:hAnsiTheme="minorEastAsia" w:eastAsiaTheme="minorEastAsia" w:cstheme="minorEastAsia"/>
          <w:color w:val="auto"/>
          <w:sz w:val="21"/>
          <w:szCs w:val="21"/>
          <w:highlight w:val="none"/>
          <w:lang w:val="zh-TW" w:eastAsia="zh-CN"/>
        </w:rPr>
        <w:t>21</w:t>
      </w:r>
      <w:r>
        <w:rPr>
          <w:rFonts w:hint="eastAsia" w:asciiTheme="minorEastAsia" w:hAnsiTheme="minorEastAsia" w:eastAsiaTheme="minorEastAsia" w:cstheme="minorEastAsia"/>
          <w:color w:val="auto"/>
          <w:sz w:val="21"/>
          <w:szCs w:val="21"/>
          <w:highlight w:val="none"/>
          <w:lang w:val="zh-TW" w:eastAsia="zh-TW"/>
        </w:rPr>
        <w:t>分，得分率为</w:t>
      </w:r>
      <w:r>
        <w:rPr>
          <w:rFonts w:hint="eastAsia" w:asciiTheme="minorEastAsia" w:hAnsiTheme="minorEastAsia" w:eastAsiaTheme="minorEastAsia" w:cstheme="minorEastAsia"/>
          <w:color w:val="auto"/>
          <w:sz w:val="21"/>
          <w:szCs w:val="21"/>
          <w:highlight w:val="none"/>
          <w:lang w:val="zh-TW" w:eastAsia="zh-CN"/>
        </w:rPr>
        <w:t>84%</w:t>
      </w:r>
      <w:r>
        <w:rPr>
          <w:rFonts w:hint="eastAsia" w:asciiTheme="minorEastAsia" w:hAnsiTheme="minorEastAsia" w:eastAsiaTheme="minorEastAsia" w:cstheme="minorEastAsia"/>
          <w:color w:val="auto"/>
          <w:sz w:val="21"/>
          <w:szCs w:val="21"/>
          <w:highlight w:val="none"/>
          <w:lang w:val="zh-TW" w:eastAsia="zh-TW"/>
        </w:rPr>
        <w:t>。各指标业绩值和绩效分值如下表所示</w:t>
      </w:r>
      <w:r>
        <w:rPr>
          <w:rFonts w:hint="eastAsia" w:asciiTheme="minorEastAsia" w:hAnsiTheme="minorEastAsia" w:cstheme="minorEastAsia"/>
          <w:color w:val="auto"/>
          <w:sz w:val="21"/>
          <w:szCs w:val="21"/>
          <w:highlight w:val="none"/>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eastAsia="黑体"/>
          <w:color w:val="auto"/>
        </w:rPr>
      </w:pPr>
      <w:r>
        <w:rPr>
          <w:b/>
          <w:bCs/>
          <w:color w:val="auto"/>
          <w:szCs w:val="16"/>
        </w:rPr>
        <w:t>表</w:t>
      </w:r>
      <w:r>
        <w:rPr>
          <w:rFonts w:hint="eastAsia"/>
          <w:b/>
          <w:bCs/>
          <w:color w:val="auto"/>
          <w:szCs w:val="16"/>
          <w:lang w:val="en-US" w:eastAsia="zh-CN"/>
        </w:rPr>
        <w:t>5</w:t>
      </w:r>
      <w:r>
        <w:rPr>
          <w:b/>
          <w:bCs/>
          <w:color w:val="auto"/>
          <w:szCs w:val="16"/>
        </w:rPr>
        <w:t>-2：项目过程类指标及分值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sz w:val="20"/>
                <w:szCs w:val="20"/>
              </w:rPr>
              <w:t>B过程（25分）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B1资金管理（13分）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B11资金到位率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B12预算执行率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97.39%</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B13资金使用合规性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合规</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较合规</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B2组织实施（12分）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B21管理制度健全性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健全</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健全</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4</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4</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B22制度执行有效性</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有效</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较有效</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8</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7</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87</w:t>
            </w:r>
            <w:r>
              <w:rPr>
                <w:rFonts w:hint="eastAsia"/>
                <w:color w:val="auto"/>
                <w:kern w:val="0"/>
                <w:sz w:val="20"/>
                <w:szCs w:val="20"/>
                <w:lang w:eastAsia="zh-CN" w:bidi="ar"/>
              </w:rPr>
              <w:t>.5</w:t>
            </w:r>
            <w:r>
              <w:rPr>
                <w:rFonts w:hint="eastAsia"/>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21</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84%</w:t>
            </w:r>
          </w:p>
        </w:tc>
      </w:tr>
    </w:tbl>
    <w:p>
      <w:pPr>
        <w:pageBreakBefore w:val="0"/>
        <w:kinsoku/>
        <w:wordWrap/>
        <w:overflowPunct/>
        <w:topLinePunct w:val="0"/>
        <w:autoSpaceDE/>
        <w:autoSpaceDN/>
        <w:bidi w:val="0"/>
        <w:snapToGrid w:val="0"/>
        <w:spacing w:before="0" w:after="0" w:line="360" w:lineRule="auto"/>
        <w:ind w:firstLine="422"/>
        <w:rPr>
          <w:rFonts w:eastAsia="宋体"/>
          <w:b/>
          <w:bCs/>
          <w:color w:val="auto"/>
        </w:rPr>
      </w:pPr>
    </w:p>
    <w:p>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w:t>
      </w:r>
      <w:r>
        <w:rPr>
          <w:rFonts w:hint="eastAsia"/>
          <w:b/>
          <w:bCs/>
          <w:color w:val="auto"/>
        </w:rPr>
        <w:t>B11资金到位率指标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根据《关于提前下达2024年中央林业草原生态保护恢复资金的通知》（喀地财建〔2023〕105号）、 《关于预告知2024年中央林业草原生态保护恢复资金的通知》（巴财建〔2023〕43号）可知，该项目管护运行保障预算金额为495万元，确认到位资金495万元，资金到位率为100%。</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该指标满分为3分，根据评分标准得3分。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（2）</w:t>
      </w:r>
      <w:r>
        <w:rPr>
          <w:rFonts w:hint="eastAsia"/>
          <w:b/>
          <w:bCs/>
          <w:color w:val="auto"/>
        </w:rPr>
        <w:t>B12预算执行率指标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证《关于提前下达2024年中央林业草原生态保护恢复资金的通知》（喀地财建〔2023〕105号）《关于预告知2024年中央林业草原生态保护恢复资金的通知》（巴财建〔2023〕43号）《关于支付2024年中央林业草原生态保护恢复资金的请示》《巴楚县自然资源局专题会议纪要》《1-12月管护人员工资表》《成交通知书》《合同》及国库集中支付凭证等资料可知，项目森林督查截止评审结束日未完成在森林督查暨林政执法综合管理系统内通过国家林业和草原局直院审核工作，该项目工作未百分百完成。同时，项目实际到位资金495万元，实际支出482.08万元，预算执行率为97.39%，预算执行率=（实际支出资金/实际到位资金）×100%=（482.08/495）×100%=97.39%。根据评分标准，扣2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该指标满分为5分，根据评分标准得3分。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（3）</w:t>
      </w:r>
      <w:r>
        <w:rPr>
          <w:rFonts w:hint="eastAsia"/>
          <w:b/>
          <w:bCs/>
          <w:color w:val="auto"/>
        </w:rPr>
        <w:t>B13资金使用合规性指标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阅合同、发票、国库集中支付凭证、巴楚自然资源局党组会议纪要，项目资金实际用于人员薪酬、水电费、燃油费、话费、保险等支出。项目资金由喀什地区财政局、巴楚县财政局拨付至预算单位，项目负责人提交支付申请资料，经中共巴楚县自然资源局党组会议研究通过，向巴楚县人民政府提交项目支付报告，待审批后办理支付，实际已支付资金482.08万元，结余资金由财政收回统筹使用，不存在截留、挤占、挪用、虚列支出等情况。</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阅《公务用车加油协议》，协议签订价款2万元，《巴楚县自然资源局公务用车加油登记表》记载，燃油采购金额2.4万元，协议执行存在实质性偏差，根据国库支付凭证实际支付金额2万元，单位实际采购燃油超出协议价款，但支付环节仍按协议价结算，导致0.4万元燃油款支付依据缺失。经查阅《巴楚县自然资源局公务用车加油登记表》，发现其中一辆公务用车（新Q91128）于2024年8月14日分别加了两次油：345元和350元（共计695元），密集加油行为缺乏合理事由说明，项目资金使用缺少合理合规性，根据评分标准，扣0.5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阅《巴楚县自然资源局党组2024年第六次会议纪要》（巴自资党纪〔2024〕6号）以及国库支付凭证，单位直接缴纳3万元的水电费，支付行为未附水电费缴费通知单及费用报销单，单位内部审批资金的拨付缺乏完整的审批程序和手续，根据评分标准，扣0.5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该指标满分为5分，根据评分标准得4分。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（4）</w:t>
      </w:r>
      <w:r>
        <w:rPr>
          <w:rFonts w:hint="eastAsia"/>
          <w:b/>
          <w:bCs/>
          <w:color w:val="auto"/>
        </w:rPr>
        <w:t>B21管理制度健全性指标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证巴楚县自然资源局提供的制度文件，项目实施单位已建立健全涵盖财务管理、档案管理、固定资产管理、合同管理、内部控制及项目管理等核心领域的制度体系。该制度体系严格遵循《行政事业单位内部控制规范》及相关法律法规要求，各项制度框架设计科学合理，内容要素完整规范，能够有效满足单位内部治理和项目实施的规范化管理需求。</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TW"/>
        </w:rPr>
        <w:t>该指标满分为4分，根据评分标准得4分</w:t>
      </w:r>
      <w:r>
        <w:rPr>
          <w:rFonts w:hint="eastAsia" w:asciiTheme="minorEastAsia" w:hAnsiTheme="minorEastAsia" w:cstheme="minorEastAsia"/>
          <w:color w:val="auto"/>
          <w:sz w:val="21"/>
          <w:szCs w:val="21"/>
          <w:highlight w:val="none"/>
          <w:lang w:val="zh-TW" w:eastAsia="zh-CN"/>
        </w:rPr>
        <w:t>。</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（5）</w:t>
      </w:r>
      <w:r>
        <w:rPr>
          <w:rFonts w:hint="eastAsia"/>
          <w:b/>
          <w:bCs/>
          <w:color w:val="auto"/>
        </w:rPr>
        <w:t>B22制度执行有效性指标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查证《关于巴楚县2024年中央林业草原生态保护恢复资金（森林保护修复）项目实施方案的批复》（喀地林发字〔2024〕40号）中，项目计划缴纳82名管护人员劳务支出467.12万元、日常管护支出17.88万元及森林督查支出10万元，但绩效目标表成本指标设置为管护人员劳务补偿成本467.12万元和日常管护支出27.88万元，未对成本指标按照标准细化，项目绩效目标与计划工作内容缺乏一致性，扣0</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经核查，该项目严格遵循《国家级公益林管理办法》及自治区配套制度要求，资金使用方向符合中央财政专项资金管理规定。项目已完成管护人员薪酬发放、日常巡护及物资采购等工作，实施过程中按照绩效目标严格落实工作任务，遵守相关法律法规和相关管理规定。</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TW"/>
        </w:rPr>
      </w:pPr>
      <w:r>
        <w:rPr>
          <w:rFonts w:hint="eastAsia" w:asciiTheme="minorEastAsia" w:hAnsiTheme="minorEastAsia" w:eastAsiaTheme="minorEastAsia" w:cstheme="minorEastAsia"/>
          <w:color w:val="auto"/>
          <w:sz w:val="21"/>
          <w:szCs w:val="21"/>
          <w:highlight w:val="none"/>
          <w:lang w:val="zh-TW" w:eastAsia="zh-TW"/>
        </w:rPr>
        <w:t>但经查证《合同》《验收单》，单位与中华联合财产保险股份有限公司巴楚县支公司签订意外伤害保险服务合同，与巴楚县鸿运广告部签订广告制作、宣传合同时，合同签订日期及验收时间均未填写；合同文本要素不完整，不符合《中华人民共和国政府采购法实施条例》关于合同管理的规范性要求，</w:t>
      </w: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lang w:val="zh-TW" w:eastAsia="zh-TW"/>
        </w:rPr>
        <w:t>评分标准扣0</w:t>
      </w:r>
      <w:r>
        <w:rPr>
          <w:rFonts w:hint="eastAsia" w:asciiTheme="minorEastAsia" w:hAnsiTheme="minorEastAsia" w:cstheme="minorEastAsia"/>
          <w:color w:val="auto"/>
          <w:sz w:val="21"/>
          <w:szCs w:val="21"/>
          <w:highlight w:val="none"/>
          <w:lang w:val="zh-TW" w:eastAsia="zh-CN"/>
        </w:rPr>
        <w:t>.5</w:t>
      </w:r>
      <w:r>
        <w:rPr>
          <w:rFonts w:hint="eastAsia" w:asciiTheme="minorEastAsia" w:hAnsiTheme="minorEastAsia" w:eastAsiaTheme="minorEastAsia" w:cstheme="minorEastAsia"/>
          <w:color w:val="auto"/>
          <w:sz w:val="21"/>
          <w:szCs w:val="21"/>
          <w:highlight w:val="none"/>
          <w:lang w:val="zh-TW" w:eastAsia="zh-TW"/>
        </w:rPr>
        <w:t>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TW"/>
        </w:rPr>
        <w:t>该指标满分为8分，根据评分标准得7分</w:t>
      </w:r>
      <w:r>
        <w:rPr>
          <w:rFonts w:hint="eastAsia" w:asciiTheme="minorEastAsia" w:hAnsiTheme="minorEastAsia" w:cstheme="minorEastAsia"/>
          <w:color w:val="auto"/>
          <w:sz w:val="21"/>
          <w:szCs w:val="21"/>
          <w:highlight w:val="none"/>
          <w:lang w:val="zh-TW" w:eastAsia="zh-CN"/>
        </w:rPr>
        <w:t>。</w:t>
      </w:r>
    </w:p>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56" w:name="_Toc32426"/>
      <w:r>
        <w:rPr>
          <w:rFonts w:ascii="Times New Roman" w:hAnsi="Times New Roman"/>
          <w:color w:val="auto"/>
        </w:rPr>
        <w:t>（三）项目产出情况</w:t>
      </w:r>
      <w:bookmarkEnd w:id="56"/>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项目产出指标由4个二级和9个三级指标构成，权重分30分，实际得分26.92分，得分率为89.73%。各指标业绩值和绩效分值如下表所示</w:t>
      </w:r>
      <w:r>
        <w:rPr>
          <w:rFonts w:hint="eastAsia" w:asciiTheme="minorEastAsia" w:hAnsiTheme="minorEastAsia" w:cstheme="minorEastAsia"/>
          <w:color w:val="auto"/>
          <w:sz w:val="21"/>
          <w:szCs w:val="21"/>
          <w:highlight w:val="none"/>
          <w:lang w:val="zh-TW" w:eastAsia="zh-CN"/>
        </w:rPr>
        <w:t>。</w:t>
      </w:r>
    </w:p>
    <w:p>
      <w:pPr>
        <w:pageBreakBefore w:val="0"/>
        <w:kinsoku/>
        <w:wordWrap/>
        <w:overflowPunct/>
        <w:topLinePunct w:val="0"/>
        <w:autoSpaceDE/>
        <w:autoSpaceDN/>
        <w:bidi w:val="0"/>
        <w:snapToGrid w:val="0"/>
        <w:spacing w:before="0" w:after="0" w:line="360" w:lineRule="auto"/>
        <w:ind w:firstLine="0" w:firstLineChars="0"/>
        <w:jc w:val="center"/>
        <w:rPr>
          <w:rFonts w:eastAsia="黑体"/>
          <w:color w:val="auto"/>
          <w:szCs w:val="16"/>
        </w:rPr>
      </w:pPr>
      <w:r>
        <w:rPr>
          <w:b/>
          <w:bCs/>
          <w:color w:val="auto"/>
          <w:szCs w:val="16"/>
        </w:rPr>
        <w:t>表</w:t>
      </w:r>
      <w:r>
        <w:rPr>
          <w:rFonts w:hint="eastAsia"/>
          <w:b/>
          <w:bCs/>
          <w:color w:val="auto"/>
          <w:szCs w:val="16"/>
          <w:lang w:val="en-US" w:eastAsia="zh-CN"/>
        </w:rPr>
        <w:t>5</w:t>
      </w:r>
      <w:r>
        <w:rPr>
          <w:b/>
          <w:bCs/>
          <w:color w:val="auto"/>
          <w:szCs w:val="16"/>
        </w:rPr>
        <w:t>-3：项目产出指标及分值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sz w:val="20"/>
                <w:szCs w:val="20"/>
              </w:rPr>
              <w:t>C产出（30分）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C1产出数量（13分）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C11国家级公益林管护面积</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≥64.51万亩</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64.51万亩</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C12保障国家级公益林管护人员（续聘）人数</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≥82人</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81人</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3.92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78</w:t>
            </w:r>
            <w:r>
              <w:rPr>
                <w:rFonts w:hint="eastAsia"/>
                <w:color w:val="auto"/>
                <w:kern w:val="0"/>
                <w:sz w:val="20"/>
                <w:szCs w:val="20"/>
                <w:lang w:eastAsia="zh-CN" w:bidi="ar"/>
              </w:rPr>
              <w:t>.4</w:t>
            </w:r>
            <w:r>
              <w:rPr>
                <w:rFonts w:hint="eastAsia"/>
                <w:color w:val="auto"/>
                <w:kern w:val="0"/>
                <w:sz w:val="20"/>
                <w:szCs w:val="20"/>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C13开展培训次数</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≥2次</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2次</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C14森林督查批次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≥1批次</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1批次</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C2产出质量（2分）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C21培训出勤率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C3产出时效（2分）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C31补助资金发放及时率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C4产出成本（13分）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C41管护人员劳务支出</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≤467.12万元</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464.87万元</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8</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8</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C42日常管护支出</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≤17.88万元</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17.21万元</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C43森林督查费</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≤10万元</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0万元</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2</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26.92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89.73%</w:t>
            </w:r>
          </w:p>
        </w:tc>
      </w:tr>
    </w:tbl>
    <w:p>
      <w:pPr>
        <w:pageBreakBefore w:val="0"/>
        <w:kinsoku/>
        <w:wordWrap/>
        <w:overflowPunct/>
        <w:topLinePunct w:val="0"/>
        <w:autoSpaceDE/>
        <w:autoSpaceDN/>
        <w:bidi w:val="0"/>
        <w:snapToGrid w:val="0"/>
        <w:spacing w:before="0" w:after="0" w:line="360" w:lineRule="auto"/>
        <w:ind w:firstLine="422"/>
        <w:rPr>
          <w:rFonts w:eastAsia="宋体"/>
          <w:b/>
          <w:bCs/>
          <w:color w:val="auto"/>
        </w:rPr>
      </w:pPr>
    </w:p>
    <w:p>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w:t>
      </w:r>
      <w:r>
        <w:rPr>
          <w:rFonts w:hint="eastAsia"/>
          <w:b/>
          <w:bCs/>
          <w:color w:val="auto"/>
        </w:rPr>
        <w:t>C11国家级公益林管护面积指标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根据《巴楚县乡镇国家级公益林保护修复基本情况》可知，该项目预计保障国家级公益林管护面积64.51万亩，实际保障国家级公益林管护面积64.51万亩，实际完成率=（实际保障国家级公益林管护面积/预计保障国家级公益林管护面积）×100%=（64.51/64.51）×100%=100%。</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该指标满分为3分，根据评分标准得3分。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（2）</w:t>
      </w:r>
      <w:r>
        <w:rPr>
          <w:rFonts w:hint="eastAsia"/>
          <w:b/>
          <w:bCs/>
          <w:color w:val="auto"/>
        </w:rPr>
        <w:t>C12保障国家级公益林管护人员（续聘）人数指标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经查证，该项目根据关于《新疆维吾尔自治区巴楚县2024年中央财政林业原改革发展资金森林保护修复项目实施方案》（喀地林发字〔2024〕40号）、《1-12月乡镇公益林监管、管护员工资汇总表》以及国库支付凭证可知，项目计划保障国家级公益林管护人员82人，截至2024年12月底实际保障国家级公益林管护人员81人，实际完成率=（实际发放人数/计划发放人数）×100%=（81/82）×100%=98.78%，得分=（实际完成率-60%）/（1-60%）×权重分值=（实际完成率-60%）/（1-60%）×4=78.33%×5=3.92分，根据评分标准，扣1.08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该指标满分为5分，根据评分标准得3.92分。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（3）</w:t>
      </w:r>
      <w:r>
        <w:rPr>
          <w:rFonts w:hint="eastAsia"/>
          <w:b/>
          <w:bCs/>
          <w:color w:val="auto"/>
        </w:rPr>
        <w:t>C13开展培训次数指标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根据《新疆维吾尔自治区巴楚县2024年中央财政林业</w:t>
      </w:r>
      <w:r>
        <w:rPr>
          <w:rFonts w:hint="eastAsia" w:asciiTheme="minorEastAsia" w:hAnsiTheme="minorEastAsia" w:eastAsiaTheme="minorEastAsia" w:cstheme="minorEastAsia"/>
          <w:color w:val="auto"/>
          <w:sz w:val="21"/>
          <w:szCs w:val="21"/>
          <w:highlight w:val="none"/>
          <w:lang w:val="en-US" w:eastAsia="zh-CN"/>
        </w:rPr>
        <w:t>草原</w:t>
      </w:r>
      <w:r>
        <w:rPr>
          <w:rFonts w:hint="eastAsia" w:asciiTheme="minorEastAsia" w:hAnsiTheme="minorEastAsia" w:eastAsiaTheme="minorEastAsia" w:cstheme="minorEastAsia"/>
          <w:color w:val="auto"/>
          <w:sz w:val="21"/>
          <w:szCs w:val="21"/>
          <w:highlight w:val="none"/>
          <w:lang w:val="zh-TW" w:eastAsia="zh-CN"/>
        </w:rPr>
        <w:t>改革发展资金森林保护修复项目实施方案》（喀地林发字〔2024〕40号）《关于巴楚县2024年中央林业草原生态保护恢复资金(森林保护修复)项目实施方案的批复》（喀地林发字〔2024〕40号）,该项目计划对巴楚县管理站82名管护员在2024年5月、10月各开展一次集中培训。经查看《巴楚县自然资源局2024年度乡镇公益林管护业务工作培训信息简报》《公益林管护员第二批业务工作培训信息简报》显示，该项目已于5月10日、6月26日开展2场次业务培训。根据评分标准，得满分。该指标满分为3分，根据评分标准得 3分。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该指标满分为3分，根据评分标准得3分。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（4）</w:t>
      </w:r>
      <w:r>
        <w:rPr>
          <w:rFonts w:hint="eastAsia"/>
          <w:b/>
          <w:bCs/>
          <w:color w:val="auto"/>
        </w:rPr>
        <w:t>C14森林督查批次指标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根据《关于提前下达2024年中央林业草原生态保护恢复资金的通知》（喀地财建〔2023〕105号），该项目计划聘请第二方开展2024森林督查工作1批次。经查看《合同》《成交通知书》显示，该项目已于2024年10月28日发布采购森林督查服务成交公告，且《巴楚县2024年森林督查破坏森林资源问题自查报告及违法图斑说明》显示：“巴楚县自然资源局、巴楚县林业和草原局高度重视检查工作，为做好配合和协调工作，及时掌握检查过程中发现的问题，局领导进行了全面安排部署，于2024年2月8日至3月21日和11月18日至12月25日成立专项调查组开展现地自查工作，专项调查组对全县范围内的所有图斑进行了现地核实”，综上所述，单位于2024年12月31日前，完成聘请第二方开展2024森林督查工作1批次。根据评分标准，得满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该指标满分为2分，根据评分标准得2分。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（5）</w:t>
      </w:r>
      <w:r>
        <w:rPr>
          <w:rFonts w:hint="eastAsia"/>
          <w:b/>
          <w:bCs/>
          <w:color w:val="auto"/>
        </w:rPr>
        <w:t>C21培训出勤率指标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经查阅资料，该项目在2024年5月、6月对管护人员开展2次集中培训，根据《巴楚县自然资源局2024年度乡镇公益林管护业务工作培训签到表》显示，82名管护人员均参加完成培训任务，出勤率100%。根据评分标准，得满分。</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该指标满分为2分，根据评分标准得2分。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（6）</w:t>
      </w:r>
      <w:r>
        <w:rPr>
          <w:rFonts w:hint="eastAsia"/>
          <w:b/>
          <w:bCs/>
          <w:color w:val="auto"/>
        </w:rPr>
        <w:t>C31补助资金发放及时率指标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根据管护员管理办法要求，须按月发放生态护林员劳务报酬，经查看《关于巴楚县2024年中央林业草原生态保护恢复资金（森林保护修复）项目实施方案的批复》（喀地林发字〔2024〕40号）、工资汇总表以及财务支付凭证，项目实际每月按照实际人员考勤天数进行资金打卡发放。实际完成率=实际时间内支付金额/计划时间内支付金额×100%=464.87/467.12×100%=99.52%。得分=（实际完成率-60%）/（1-60%）×指标分值=（99.52%-60%）/（1-60%）×2=1.98分，根据评分标准，扣0.02</w:t>
      </w:r>
      <w:r>
        <w:rPr>
          <w:rFonts w:hint="eastAsia" w:asciiTheme="minorEastAsia" w:hAnsiTheme="minorEastAsia" w:cstheme="minorEastAsia"/>
          <w:color w:val="auto"/>
          <w:sz w:val="21"/>
          <w:szCs w:val="21"/>
          <w:highlight w:val="none"/>
          <w:lang w:val="en-US" w:eastAsia="zh-CN"/>
        </w:rPr>
        <w:t>分</w:t>
      </w:r>
      <w:r>
        <w:rPr>
          <w:rFonts w:hint="eastAsia" w:asciiTheme="minorEastAsia" w:hAnsiTheme="minorEastAsia" w:eastAsiaTheme="minorEastAsia" w:cstheme="minorEastAsia"/>
          <w:color w:val="auto"/>
          <w:sz w:val="21"/>
          <w:szCs w:val="21"/>
          <w:highlight w:val="none"/>
          <w:lang w:val="zh-TW" w:eastAsia="zh-CN"/>
        </w:rPr>
        <w:t>。</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该指标满分为2分，根据评分标准得1.98分。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（7）</w:t>
      </w:r>
      <w:r>
        <w:rPr>
          <w:rFonts w:hint="eastAsia"/>
          <w:b/>
          <w:bCs/>
          <w:color w:val="auto"/>
        </w:rPr>
        <w:t>C41管护人员劳务支出指标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根据《1-12月乡镇公益林监管、管护员工资表》《2024年第一季度、第二季度、第四季度绩效考核表》以及财务支付凭证显示，该项目计划支付管护员劳务报酬467.12万元，实际支付管护员劳务报酬464.87万元，实际完成值=（实际支付资金数/计划应支付资金数）×100%=464.87/467.12×100%=99.52%，根据评分标准，得满分。具体汇总情况如下图</w:t>
      </w:r>
      <w:r>
        <w:rPr>
          <w:rFonts w:hint="eastAsia" w:asciiTheme="minorEastAsia" w:hAnsiTheme="minorEastAsia" w:cstheme="minorEastAsia"/>
          <w:color w:val="auto"/>
          <w:sz w:val="21"/>
          <w:szCs w:val="21"/>
          <w:highlight w:val="none"/>
          <w:lang w:val="zh-TW" w:eastAsia="zh-CN"/>
        </w:rPr>
        <w:t>。</w:t>
      </w:r>
    </w:p>
    <w:p>
      <w:pPr>
        <w:pStyle w:val="2"/>
        <w:jc w:val="center"/>
        <w:rPr>
          <w:rFonts w:hint="eastAsia"/>
          <w:color w:val="auto"/>
          <w:highlight w:val="none"/>
          <w:lang w:val="en-US" w:eastAsia="zh-CN"/>
        </w:rPr>
      </w:pPr>
      <w:r>
        <w:rPr>
          <w:rFonts w:hint="eastAsia" w:ascii="Times New Roman" w:hAnsi="Times New Roman" w:cs="Times New Roman"/>
          <w:b/>
          <w:bCs/>
          <w:color w:val="auto"/>
          <w:highlight w:val="none"/>
          <w:lang w:val="en-US" w:eastAsia="zh-CN"/>
        </w:rPr>
        <w:t>表1-1-1：</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管护人员劳务</w:t>
      </w:r>
      <w:r>
        <w:rPr>
          <w:rFonts w:hint="eastAsia" w:ascii="Times New Roman" w:hAnsi="Times New Roman" w:cs="Times New Roman"/>
          <w:b/>
          <w:bCs/>
          <w:color w:val="auto"/>
          <w:highlight w:val="none"/>
          <w:lang w:val="en-US" w:eastAsia="zh-CN"/>
        </w:rPr>
        <w:t>支出明细表</w:t>
      </w:r>
    </w:p>
    <w:tbl>
      <w:tblPr>
        <w:tblStyle w:val="18"/>
        <w:tblW w:w="8329"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8"/>
        <w:gridCol w:w="2615"/>
        <w:gridCol w:w="2291"/>
        <w:gridCol w:w="1250"/>
        <w:gridCol w:w="14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费用名称</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计划金额</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实际支付</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资金执行率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劳务报酬</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333.65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right"/>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lang w:val="en-US" w:eastAsia="zh-CN"/>
              </w:rPr>
              <w:t>332.28</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lang w:val="en-US" w:eastAsia="zh-CN"/>
              </w:rPr>
              <w:t>99.59%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管护员基本报酬</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198.94</w:t>
            </w:r>
          </w:p>
        </w:tc>
        <w:tc>
          <w:tcPr>
            <w:tcW w:w="125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293.98</w:t>
            </w:r>
          </w:p>
        </w:tc>
        <w:tc>
          <w:tcPr>
            <w:tcW w:w="147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监管员基本报酬</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95.35</w:t>
            </w:r>
          </w:p>
        </w:tc>
        <w:tc>
          <w:tcPr>
            <w:tcW w:w="1250"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绩效工资</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39.36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38.3</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社会保障支出</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121.75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right"/>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rPr>
              <w:t>1</w:t>
            </w:r>
            <w:r>
              <w:rPr>
                <w:rFonts w:hint="eastAsia" w:ascii="宋体" w:hAnsi="宋体" w:eastAsia="宋体" w:cs="宋体"/>
                <w:b/>
                <w:bCs/>
                <w:i w:val="0"/>
                <w:iCs w:val="0"/>
                <w:color w:val="auto"/>
                <w:sz w:val="22"/>
                <w:szCs w:val="22"/>
                <w:highlight w:val="none"/>
                <w:u w:val="none"/>
                <w:lang w:val="en-US" w:eastAsia="zh-CN"/>
              </w:rPr>
              <w:t>21.14</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lang w:val="en-US" w:eastAsia="zh-CN"/>
              </w:rPr>
              <w:t>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基本养老保险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78.72</w:t>
            </w:r>
          </w:p>
        </w:tc>
        <w:tc>
          <w:tcPr>
            <w:tcW w:w="125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117.86</w:t>
            </w:r>
          </w:p>
        </w:tc>
        <w:tc>
          <w:tcPr>
            <w:tcW w:w="147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失业保险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2.46</w:t>
            </w:r>
          </w:p>
        </w:tc>
        <w:tc>
          <w:tcPr>
            <w:tcW w:w="1250" w:type="dxa"/>
            <w:vMerge w:val="continue"/>
            <w:tcBorders>
              <w:left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医疗保险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34.34</w:t>
            </w:r>
          </w:p>
        </w:tc>
        <w:tc>
          <w:tcPr>
            <w:tcW w:w="1250" w:type="dxa"/>
            <w:vMerge w:val="continue"/>
            <w:tcBorders>
              <w:left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工伤保险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1.97</w:t>
            </w:r>
          </w:p>
        </w:tc>
        <w:tc>
          <w:tcPr>
            <w:tcW w:w="1250" w:type="dxa"/>
            <w:vMerge w:val="continue"/>
            <w:tcBorders>
              <w:left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大额医疗保险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0.98</w:t>
            </w:r>
          </w:p>
        </w:tc>
        <w:tc>
          <w:tcPr>
            <w:tcW w:w="1250" w:type="dxa"/>
            <w:vMerge w:val="continue"/>
            <w:tcBorders>
              <w:left w:val="single" w:color="000000" w:sz="4" w:space="0"/>
              <w:bottom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人身意外伤害保险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3.28</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3</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住房公积金支出</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11.72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b/>
                <w:bCs/>
                <w:i w:val="0"/>
                <w:iCs w:val="0"/>
                <w:color w:val="auto"/>
                <w:sz w:val="22"/>
                <w:szCs w:val="22"/>
                <w:highlight w:val="none"/>
                <w:u w:val="none"/>
                <w:lang w:val="en-US"/>
              </w:rPr>
            </w:pPr>
            <w:r>
              <w:rPr>
                <w:rFonts w:hint="eastAsia" w:ascii="宋体" w:hAnsi="宋体" w:eastAsia="宋体" w:cs="宋体"/>
                <w:b/>
                <w:bCs/>
                <w:i w:val="0"/>
                <w:iCs w:val="0"/>
                <w:color w:val="auto"/>
                <w:kern w:val="0"/>
                <w:sz w:val="22"/>
                <w:szCs w:val="22"/>
                <w:highlight w:val="none"/>
                <w:u w:val="none"/>
                <w:lang w:val="en-US" w:eastAsia="zh-CN" w:bidi="ar"/>
              </w:rPr>
              <w:t>11.64</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99.34%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3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合计</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467.12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b/>
                <w:bCs/>
                <w:i w:val="0"/>
                <w:iCs w:val="0"/>
                <w:color w:val="auto"/>
                <w:sz w:val="22"/>
                <w:szCs w:val="22"/>
                <w:highlight w:val="none"/>
                <w:u w:val="none"/>
                <w:lang w:val="en-US"/>
              </w:rPr>
            </w:pPr>
            <w:r>
              <w:rPr>
                <w:rFonts w:hint="eastAsia" w:ascii="宋体" w:hAnsi="宋体" w:eastAsia="宋体" w:cs="宋体"/>
                <w:b/>
                <w:bCs/>
                <w:i w:val="0"/>
                <w:iCs w:val="0"/>
                <w:color w:val="auto"/>
                <w:kern w:val="0"/>
                <w:sz w:val="22"/>
                <w:szCs w:val="22"/>
                <w:highlight w:val="none"/>
                <w:u w:val="none"/>
                <w:lang w:val="en-US" w:eastAsia="zh-CN" w:bidi="ar"/>
              </w:rPr>
              <w:t>465.06</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99.56%</w:t>
            </w:r>
          </w:p>
        </w:tc>
      </w:tr>
    </w:tbl>
    <w:p>
      <w:pPr>
        <w:spacing w:line="360" w:lineRule="auto"/>
        <w:ind w:firstLine="420"/>
        <w:rPr>
          <w:rFonts w:hint="eastAsia"/>
          <w:color w:val="auto"/>
        </w:rPr>
      </w:pP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该指标满分为8分，根据评分标准得8分。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（8）</w:t>
      </w:r>
      <w:r>
        <w:rPr>
          <w:rFonts w:hint="eastAsia"/>
          <w:b/>
          <w:bCs/>
          <w:color w:val="auto"/>
        </w:rPr>
        <w:t>C42日常管护支出指标</w:t>
      </w:r>
    </w:p>
    <w:p>
      <w:pPr>
        <w:spacing w:before="0" w:after="0" w:line="360" w:lineRule="auto"/>
        <w:ind w:firstLine="664"/>
        <w:rPr>
          <w:rFonts w:hint="eastAsia" w:asciiTheme="minorEastAsia" w:hAnsiTheme="minorEastAsia" w:eastAsiaTheme="minorEastAsia" w:cstheme="minorEastAsia"/>
          <w:color w:val="auto"/>
          <w:sz w:val="21"/>
          <w:szCs w:val="21"/>
          <w:highlight w:val="none"/>
          <w:lang w:val="zh-TW" w:eastAsia="zh-CN"/>
        </w:rPr>
      </w:pPr>
      <w:r>
        <w:rPr>
          <w:rFonts w:hint="eastAsia" w:asciiTheme="minorEastAsia" w:hAnsiTheme="minorEastAsia" w:eastAsiaTheme="minorEastAsia" w:cstheme="minorEastAsia"/>
          <w:color w:val="auto"/>
          <w:sz w:val="21"/>
          <w:szCs w:val="21"/>
          <w:highlight w:val="none"/>
          <w:lang w:val="zh-TW" w:eastAsia="zh-CN"/>
        </w:rPr>
        <w:t>经查证《关于巴楚县2024年中央林业草原生态保护恢复资金(森林保护修复)项目实施方案的批复》（喀地林发字〔2024〕40号）《巴楚县自然资源局党组2024年第十二次会议纪要》（巴自资党纪〔2024〕12号）《合同》《验收单》《检验报告》及相关财务凭证可知，项目计划日常管护支出17.88万元。实际日常管护支出17.21万元，实际完成率=（实际补助金额/计划补助金额）×100%=（17.21/17.88）×100%=96.25%。根据评分标准，得满分。具体汇总情况如下图</w:t>
      </w:r>
      <w:r>
        <w:rPr>
          <w:rFonts w:hint="eastAsia" w:asciiTheme="minorEastAsia" w:hAnsiTheme="minorEastAsia" w:cstheme="minorEastAsia"/>
          <w:color w:val="auto"/>
          <w:sz w:val="21"/>
          <w:szCs w:val="21"/>
          <w:highlight w:val="none"/>
          <w:lang w:val="zh-TW" w:eastAsia="zh-CN"/>
        </w:rPr>
        <w:t>。</w:t>
      </w:r>
    </w:p>
    <w:p>
      <w:pPr>
        <w:jc w:val="center"/>
        <w:rPr>
          <w:rFonts w:hint="eastAsia"/>
          <w:color w:val="auto"/>
          <w:highlight w:val="none"/>
          <w:lang w:val="en-US" w:eastAsia="zh-CN"/>
        </w:rPr>
      </w:pPr>
      <w:r>
        <w:rPr>
          <w:rFonts w:hint="eastAsia" w:ascii="Times New Roman" w:hAnsi="Times New Roman" w:cs="Times New Roman"/>
          <w:b/>
          <w:bCs/>
          <w:color w:val="auto"/>
          <w:highlight w:val="none"/>
          <w:lang w:val="en-US" w:eastAsia="zh-CN"/>
        </w:rPr>
        <w:t>表1-1-</w:t>
      </w:r>
      <w:r>
        <w:rPr>
          <w:rFonts w:hint="eastAsia" w:cs="Times New Roman"/>
          <w:b/>
          <w:bCs/>
          <w:color w:val="auto"/>
          <w:highlight w:val="none"/>
          <w:lang w:val="en-US" w:eastAsia="zh-CN"/>
        </w:rPr>
        <w:t>2</w:t>
      </w:r>
      <w:r>
        <w:rPr>
          <w:rFonts w:hint="eastAsia" w:ascii="Times New Roman" w:hAnsi="Times New Roman" w:cs="Times New Roman"/>
          <w:b/>
          <w:bCs/>
          <w:color w:val="auto"/>
          <w:highlight w:val="none"/>
          <w:lang w:val="en-US" w:eastAsia="zh-CN"/>
        </w:rPr>
        <w:t>：</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日常管护</w:t>
      </w:r>
      <w:r>
        <w:rPr>
          <w:rFonts w:hint="eastAsia" w:ascii="Times New Roman" w:hAnsi="Times New Roman" w:cs="Times New Roman"/>
          <w:b/>
          <w:bCs/>
          <w:color w:val="auto"/>
          <w:highlight w:val="none"/>
          <w:lang w:val="en-US" w:eastAsia="zh-CN"/>
        </w:rPr>
        <w:t>支出明细表</w:t>
      </w:r>
    </w:p>
    <w:tbl>
      <w:tblPr>
        <w:tblStyle w:val="18"/>
        <w:tblW w:w="8246"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7"/>
        <w:gridCol w:w="3697"/>
        <w:gridCol w:w="1189"/>
        <w:gridCol w:w="1178"/>
        <w:gridCol w:w="1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费用名称</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计划金额（万元）</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实际支出（万元）</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资金执行率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管护车辆费用</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3.42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2.75</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80.44%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摩托车年审及保险支出</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0.62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right"/>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0</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车辆保险、维修保养支出</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0.75</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车辆燃油支出</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管护站运行费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7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取暖费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管护日常办公费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2.84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2.84</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印刷各项工作制度等</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1.86</w:t>
            </w:r>
          </w:p>
        </w:tc>
        <w:tc>
          <w:tcPr>
            <w:tcW w:w="17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各管护站灭火器需要年审</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0.5</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0.5</w:t>
            </w:r>
          </w:p>
        </w:tc>
        <w:tc>
          <w:tcPr>
            <w:tcW w:w="1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缴纳一键报警器年度话费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0.48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0.48</w:t>
            </w:r>
          </w:p>
        </w:tc>
        <w:tc>
          <w:tcPr>
            <w:tcW w:w="1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管护员培训费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0.82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0.82</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宣传牌面更新印刷费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1.8</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1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合计</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17.88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17.21</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96.26%</w:t>
            </w:r>
          </w:p>
        </w:tc>
      </w:tr>
    </w:tbl>
    <w:p>
      <w:pPr>
        <w:spacing w:before="0" w:after="0" w:line="240" w:lineRule="auto"/>
        <w:ind w:firstLine="664"/>
        <w:rPr>
          <w:rFonts w:hint="eastAsia" w:asciiTheme="minorEastAsia" w:hAnsiTheme="minorEastAsia" w:eastAsiaTheme="minorEastAsia" w:cstheme="minorEastAsia"/>
          <w:color w:val="auto"/>
          <w:sz w:val="21"/>
          <w:szCs w:val="21"/>
          <w:highlight w:val="none"/>
          <w:lang w:val="zh-TW" w:eastAsia="zh-CN"/>
        </w:rPr>
      </w:pPr>
    </w:p>
    <w:p>
      <w:pPr>
        <w:spacing w:before="0" w:after="0" w:line="240" w:lineRule="auto"/>
        <w:ind w:firstLine="664"/>
        <w:rPr>
          <w:color w:val="auto"/>
        </w:rPr>
      </w:pPr>
      <w:r>
        <w:rPr>
          <w:rFonts w:hint="eastAsia" w:asciiTheme="minorEastAsia" w:hAnsiTheme="minorEastAsia" w:eastAsiaTheme="minorEastAsia" w:cstheme="minorEastAsia"/>
          <w:color w:val="auto"/>
          <w:sz w:val="21"/>
          <w:szCs w:val="21"/>
          <w:highlight w:val="none"/>
          <w:lang w:val="zh-TW" w:eastAsia="zh-CN"/>
        </w:rPr>
        <w:t>该指标满分为3分，根据评分标准得3分。</w:t>
      </w:r>
    </w:p>
    <w:p>
      <w:pPr>
        <w:pageBreakBefore w:val="0"/>
        <w:kinsoku/>
        <w:wordWrap/>
        <w:overflowPunct/>
        <w:topLinePunct w:val="0"/>
        <w:autoSpaceDE/>
        <w:autoSpaceDN/>
        <w:bidi w:val="0"/>
        <w:snapToGrid w:val="0"/>
        <w:spacing w:before="0" w:after="0" w:line="240" w:lineRule="auto"/>
        <w:ind w:firstLine="422"/>
        <w:rPr>
          <w:b/>
          <w:bCs/>
          <w:color w:val="auto"/>
        </w:rPr>
      </w:pP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（9）</w:t>
      </w:r>
      <w:r>
        <w:rPr>
          <w:rFonts w:hint="eastAsia"/>
          <w:b/>
          <w:bCs/>
          <w:color w:val="auto"/>
        </w:rPr>
        <w:t>C43森林督查费指标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经查证《关于巴楚县2024年中央林业草原生态保护恢复资金（森林保护修复）项目实施方案的批复》（喀地林发字〔2024〕40号）《合同》《成交通知书》及相关财务凭证可知，项目计划支出森林督查费10万元，根据项目单位于2024年10月28日确定新疆昊森工程科技有限公司为森林督查调查服务第三方。截至2025年7月15日，新疆昊森工程科技有限公司处于森林督查成果正通过省级和国家林业和草原局直属院审核阶段。待在森林督查暨林政执法综合管理系统内通过国家林业和草原局直属院审核后，根据财政资金支付管理相关规定，单位将依据审核结果，严格按照财政资金支付流程及时办理相关款项支付手续。截至2025年6月30日，单位未支付该笔资金，实际支付森林督查费0万元。根据评分标准，不得分。</w:t>
      </w:r>
    </w:p>
    <w:p>
      <w:pPr>
        <w:spacing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该指标满分为2分，根据评分标准得0分。</w:t>
      </w:r>
    </w:p>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57" w:name="_Toc26285"/>
      <w:r>
        <w:rPr>
          <w:rFonts w:ascii="Times New Roman" w:hAnsi="Times New Roman"/>
          <w:color w:val="auto"/>
        </w:rPr>
        <w:t>（四）项目效益情况</w:t>
      </w:r>
      <w:bookmarkEnd w:id="57"/>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项目效益指标由2个二级和3个三级指标构成，权重分35分，实际得分350分，得分率为100%。各指标业绩值和绩效分值如下表所示</w:t>
      </w:r>
      <w:r>
        <w:rPr>
          <w:rFonts w:hint="eastAsia" w:asciiTheme="minorEastAsia" w:hAnsiTheme="minorEastAsia" w:cstheme="minorEastAsia"/>
          <w:color w:val="auto"/>
          <w:lang w:eastAsia="zh-CN"/>
        </w:rPr>
        <w:t>。</w:t>
      </w:r>
    </w:p>
    <w:p>
      <w:pPr>
        <w:pageBreakBefore w:val="0"/>
        <w:kinsoku/>
        <w:wordWrap/>
        <w:overflowPunct/>
        <w:topLinePunct w:val="0"/>
        <w:autoSpaceDE/>
        <w:autoSpaceDN/>
        <w:bidi w:val="0"/>
        <w:snapToGrid w:val="0"/>
        <w:spacing w:before="0" w:after="0" w:line="360" w:lineRule="auto"/>
        <w:ind w:firstLine="0" w:firstLineChars="0"/>
        <w:jc w:val="center"/>
        <w:rPr>
          <w:color w:val="auto"/>
        </w:rPr>
      </w:pPr>
      <w:r>
        <w:rPr>
          <w:b/>
          <w:bCs/>
          <w:color w:val="auto"/>
        </w:rPr>
        <w:t>表</w:t>
      </w:r>
      <w:r>
        <w:rPr>
          <w:rFonts w:hint="eastAsia"/>
          <w:b/>
          <w:bCs/>
          <w:color w:val="auto"/>
          <w:lang w:val="en-US" w:eastAsia="zh-CN"/>
        </w:rPr>
        <w:t>5</w:t>
      </w:r>
      <w:r>
        <w:rPr>
          <w:b/>
          <w:bCs/>
          <w:color w:val="auto"/>
        </w:rPr>
        <w:t>-4：项目效益指标及分值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8"/>
        <w:gridCol w:w="1112"/>
        <w:gridCol w:w="2020"/>
        <w:gridCol w:w="841"/>
        <w:gridCol w:w="1110"/>
        <w:gridCol w:w="759"/>
        <w:gridCol w:w="690"/>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sz w:val="20"/>
                <w:szCs w:val="20"/>
              </w:rPr>
              <w:t>D效益（35分）</w:t>
            </w:r>
          </w:p>
        </w:tc>
        <w:tc>
          <w:tcPr>
            <w:tcW w:w="661" w:type="pct"/>
            <w:vMerge w:val="restar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D1社会效益指标（22分）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D11提高生态管护员森林资源管护水平</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有效提升</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基本达成目标</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12</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12</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D12持续保障生态管护员基本生活需求</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持续保障</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基本达成目标</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10</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10</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D2服务对象满意度指标（13分）</w:t>
            </w:r>
          </w:p>
        </w:tc>
        <w:tc>
          <w:tcPr>
            <w:tcW w:w="1201" w:type="pct"/>
            <w:vAlign w:val="center"/>
          </w:tcPr>
          <w:p>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D21受益生态护林员满意度</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≥95%</w:t>
            </w: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r>
              <w:rPr>
                <w:rFonts w:hint="eastAsia"/>
                <w:color w:val="auto"/>
                <w:sz w:val="20"/>
                <w:szCs w:val="20"/>
                <w:lang w:val="en-US" w:eastAsia="zh-CN"/>
              </w:rPr>
              <w:t>100%</w:t>
            </w: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13</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13</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sz w:val="20"/>
                <w:szCs w:val="20"/>
              </w:rPr>
              <w:t>合计</w:t>
            </w:r>
          </w:p>
        </w:tc>
        <w:tc>
          <w:tcPr>
            <w:tcW w:w="50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p>
        </w:tc>
        <w:tc>
          <w:tcPr>
            <w:tcW w:w="66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eastAsia="宋体" w:cs="宋体"/>
                <w:color w:val="auto"/>
                <w:sz w:val="20"/>
                <w:szCs w:val="20"/>
                <w:lang w:val="en-US" w:eastAsia="zh-CN"/>
              </w:rPr>
            </w:pPr>
          </w:p>
        </w:tc>
        <w:tc>
          <w:tcPr>
            <w:tcW w:w="451"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35</w:t>
            </w:r>
          </w:p>
        </w:tc>
        <w:tc>
          <w:tcPr>
            <w:tcW w:w="410"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hint="eastAsia" w:ascii="宋体" w:hAnsi="宋体" w:cs="宋体" w:eastAsiaTheme="minorEastAsia"/>
                <w:color w:val="auto"/>
                <w:sz w:val="20"/>
                <w:szCs w:val="20"/>
                <w:lang w:eastAsia="zh-CN"/>
              </w:rPr>
            </w:pPr>
            <w:r>
              <w:rPr>
                <w:rFonts w:hint="eastAsia"/>
                <w:color w:val="auto"/>
                <w:kern w:val="0"/>
                <w:sz w:val="20"/>
                <w:szCs w:val="20"/>
                <w:lang w:bidi="ar"/>
              </w:rPr>
              <w:t>35</w:t>
            </w:r>
          </w:p>
        </w:tc>
        <w:tc>
          <w:tcPr>
            <w:tcW w:w="498" w:type="pct"/>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color w:val="auto"/>
                <w:sz w:val="20"/>
                <w:szCs w:val="20"/>
              </w:rPr>
            </w:pPr>
            <w:r>
              <w:rPr>
                <w:rFonts w:hint="eastAsia"/>
                <w:color w:val="auto"/>
                <w:kern w:val="0"/>
                <w:sz w:val="20"/>
                <w:szCs w:val="20"/>
                <w:lang w:bidi="ar"/>
              </w:rPr>
              <w:t>100%</w:t>
            </w:r>
          </w:p>
        </w:tc>
      </w:tr>
    </w:tbl>
    <w:p>
      <w:pPr>
        <w:pageBreakBefore w:val="0"/>
        <w:kinsoku/>
        <w:wordWrap/>
        <w:overflowPunct/>
        <w:topLinePunct w:val="0"/>
        <w:autoSpaceDE/>
        <w:autoSpaceDN/>
        <w:bidi w:val="0"/>
        <w:snapToGrid w:val="0"/>
        <w:spacing w:before="0" w:after="0" w:line="360" w:lineRule="auto"/>
        <w:ind w:firstLine="422"/>
        <w:rPr>
          <w:rFonts w:eastAsia="宋体"/>
          <w:b/>
          <w:bCs/>
          <w:color w:val="auto"/>
        </w:rPr>
      </w:pPr>
    </w:p>
    <w:p>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w:t>
      </w:r>
      <w:r>
        <w:rPr>
          <w:rFonts w:hint="eastAsia"/>
          <w:b/>
          <w:bCs/>
          <w:color w:val="auto"/>
        </w:rPr>
        <w:t>D11提高生态管护员森林资源管护水平指标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该效益指标主要采用公众评判法，通过电子问卷等方式评价受益群众满意度实现程度。 该项目回收电子问卷81份，其中根据《2024年中央林业草原生态保护恢复资金(森林保护修复)项目调查问卷》问题：</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您认为通过本项目实施对管护员森林资源管护水平提高程度如何?</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的统计结果显示，有81人选择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有效提高</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提高效果良好</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提高效果较差</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无提高效果</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xml:space="preserve">，指标完成率=（ </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有效提高</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1+</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提高效果良好</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w:t>
      </w:r>
      <w:r>
        <w:rPr>
          <w:rFonts w:hint="eastAsia" w:asciiTheme="minorEastAsia" w:hAnsiTheme="minorEastAsia" w:cstheme="minorEastAsia"/>
          <w:color w:val="auto"/>
          <w:lang w:eastAsia="zh-CN"/>
        </w:rPr>
        <w:t>.8</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提高效果较差</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w:t>
      </w:r>
      <w:r>
        <w:rPr>
          <w:rFonts w:hint="eastAsia" w:asciiTheme="minorEastAsia" w:hAnsiTheme="minorEastAsia" w:cstheme="minorEastAsia"/>
          <w:color w:val="auto"/>
          <w:lang w:eastAsia="zh-CN"/>
        </w:rPr>
        <w:t>.6</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无提高效果</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×0）/总样本数×100%= （81×1+0×0</w:t>
      </w:r>
      <w:r>
        <w:rPr>
          <w:rFonts w:hint="eastAsia" w:asciiTheme="minorEastAsia" w:hAnsiTheme="minorEastAsia" w:cstheme="minorEastAsia"/>
          <w:color w:val="auto"/>
          <w:lang w:eastAsia="zh-CN"/>
        </w:rPr>
        <w:t>.8</w:t>
      </w:r>
      <w:r>
        <w:rPr>
          <w:rFonts w:hint="eastAsia" w:asciiTheme="minorEastAsia" w:hAnsiTheme="minorEastAsia" w:eastAsiaTheme="minorEastAsia" w:cstheme="minorEastAsia"/>
          <w:color w:val="auto"/>
        </w:rPr>
        <w:t>+0×0</w:t>
      </w:r>
      <w:r>
        <w:rPr>
          <w:rFonts w:hint="eastAsia" w:asciiTheme="minorEastAsia" w:hAnsiTheme="minorEastAsia" w:cstheme="minorEastAsia"/>
          <w:color w:val="auto"/>
          <w:lang w:eastAsia="zh-CN"/>
        </w:rPr>
        <w:t>.6</w:t>
      </w:r>
      <w:r>
        <w:rPr>
          <w:rFonts w:hint="eastAsia" w:asciiTheme="minorEastAsia" w:hAnsiTheme="minorEastAsia" w:eastAsiaTheme="minorEastAsia" w:cstheme="minorEastAsia"/>
          <w:color w:val="auto"/>
        </w:rPr>
        <w:t>+0×0）/81×100%=100%，得分=（实际完成率-60%） /（1-60%） ×指标分值=(100%-60%）/（1-60%）×12=12，得12分。</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该指标满分为12分，根据评分标准得12分。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（2）</w:t>
      </w:r>
      <w:r>
        <w:rPr>
          <w:rFonts w:hint="eastAsia"/>
          <w:b/>
          <w:bCs/>
          <w:color w:val="auto"/>
        </w:rPr>
        <w:t>D12持续保障生态管护员基本生活需求指标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该效益指标主要采用公众评判法，通过电子问卷等方式评价受益群众满意度实现程度。 该项目回收电子问卷81份，其中根据《2024年中央林业草原生态保护恢复资金(森林保护修复)项目调查问卷》问题：</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您认为通过本项目实施对管护员基本生活需求保障程度如何?</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的统计结果显示，有80人选择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有效保障</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，有1人选择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保障效果一般</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保障效果较差</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无保障效果</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xml:space="preserve">，指标完成率=（ </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xml:space="preserve">有效保障 </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1+</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保障效果一般</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w:t>
      </w:r>
      <w:r>
        <w:rPr>
          <w:rFonts w:hint="eastAsia" w:asciiTheme="minorEastAsia" w:hAnsiTheme="minorEastAsia" w:cstheme="minorEastAsia"/>
          <w:color w:val="auto"/>
          <w:lang w:eastAsia="zh-CN"/>
        </w:rPr>
        <w:t>.8</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保障效果较差</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w:t>
      </w:r>
      <w:r>
        <w:rPr>
          <w:rFonts w:hint="eastAsia" w:asciiTheme="minorEastAsia" w:hAnsiTheme="minorEastAsia" w:cstheme="minorEastAsia"/>
          <w:color w:val="auto"/>
          <w:lang w:eastAsia="zh-CN"/>
        </w:rPr>
        <w:t>.6</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无保障效果</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×0）/总样本数×100%=（80×1+1×0</w:t>
      </w:r>
      <w:r>
        <w:rPr>
          <w:rFonts w:hint="eastAsia" w:asciiTheme="minorEastAsia" w:hAnsiTheme="minorEastAsia" w:cstheme="minorEastAsia"/>
          <w:color w:val="auto"/>
          <w:lang w:eastAsia="zh-CN"/>
        </w:rPr>
        <w:t>.8</w:t>
      </w:r>
      <w:r>
        <w:rPr>
          <w:rFonts w:hint="eastAsia" w:asciiTheme="minorEastAsia" w:hAnsiTheme="minorEastAsia" w:eastAsiaTheme="minorEastAsia" w:cstheme="minorEastAsia"/>
          <w:color w:val="auto"/>
        </w:rPr>
        <w:t>+0×0</w:t>
      </w:r>
      <w:r>
        <w:rPr>
          <w:rFonts w:hint="eastAsia" w:asciiTheme="minorEastAsia" w:hAnsiTheme="minorEastAsia" w:cstheme="minorEastAsia"/>
          <w:color w:val="auto"/>
          <w:lang w:eastAsia="zh-CN"/>
        </w:rPr>
        <w:t>.6</w:t>
      </w:r>
      <w:r>
        <w:rPr>
          <w:rFonts w:hint="eastAsia" w:asciiTheme="minorEastAsia" w:hAnsiTheme="minorEastAsia" w:eastAsiaTheme="minorEastAsia" w:cstheme="minorEastAsia"/>
          <w:color w:val="auto"/>
        </w:rPr>
        <w:t>+0×0）/81×100%=99.75%，得分=（实际完成率-60%） /（1-60%） ×指标分值=39.75%/（1-60%）×10=9.94，得9.94分。</w:t>
      </w:r>
    </w:p>
    <w:p>
      <w:pPr>
        <w:pageBreakBefore w:val="0"/>
        <w:kinsoku/>
        <w:wordWrap/>
        <w:overflowPunct/>
        <w:topLinePunct w:val="0"/>
        <w:autoSpaceDE/>
        <w:autoSpaceDN/>
        <w:bidi w:val="0"/>
        <w:snapToGrid w:val="0"/>
        <w:spacing w:before="0" w:after="0" w:line="360" w:lineRule="auto"/>
        <w:ind w:firstLine="420"/>
        <w:rPr>
          <w:color w:val="auto"/>
        </w:rPr>
      </w:pPr>
      <w:r>
        <w:rPr>
          <w:rFonts w:hint="eastAsia" w:asciiTheme="minorEastAsia" w:hAnsiTheme="minorEastAsia" w:eastAsiaTheme="minorEastAsia" w:cstheme="minorEastAsia"/>
          <w:color w:val="auto"/>
        </w:rPr>
        <w:t>该指标满分为10分，根据评分标准得9.94分。</w:t>
      </w:r>
    </w:p>
    <w:p>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（3）</w:t>
      </w:r>
      <w:r>
        <w:rPr>
          <w:rFonts w:hint="eastAsia"/>
          <w:b/>
          <w:bCs/>
          <w:color w:val="auto"/>
        </w:rPr>
        <w:t>D21受益生态护林员满意度指标</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该效益指标主要采用公众评判法，通过电子问卷等方式评价受益群众满意度实现程度。 该项目回收电子问卷81份，其中根据《2024年中央林业草原生态保护恢复资金(森林保护修复)项目调查问卷》问题：</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您对本项目的实施过程及效果是否满意?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的统计结果显示，有81人选择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十分满意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一般满意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不太满意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，有0人选择</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不满意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xml:space="preserve">，指标完成率=（ </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xml:space="preserve">十分满意 </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 1+</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一般满意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w:t>
      </w:r>
      <w:r>
        <w:rPr>
          <w:rFonts w:hint="eastAsia" w:asciiTheme="minorEastAsia" w:hAnsiTheme="minorEastAsia" w:cstheme="minorEastAsia"/>
          <w:color w:val="auto"/>
          <w:lang w:eastAsia="zh-CN"/>
        </w:rPr>
        <w:t>.8</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不太满意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w:t>
      </w:r>
      <w:r>
        <w:rPr>
          <w:rFonts w:hint="eastAsia" w:asciiTheme="minorEastAsia" w:hAnsiTheme="minorEastAsia" w:cstheme="minorEastAsia"/>
          <w:color w:val="auto"/>
          <w:lang w:eastAsia="zh-CN"/>
        </w:rPr>
        <w:t>.6</w:t>
      </w:r>
      <w:r>
        <w:rPr>
          <w:rFonts w:hint="eastAsia" w:asciiTheme="minorEastAsia" w:hAnsiTheme="minorEastAsia" w:eastAsiaTheme="minorEastAsia" w:cstheme="minorEastAsia"/>
          <w:color w:val="auto"/>
        </w:rPr>
        <w:t>+</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不满意</w:t>
      </w:r>
      <w:r>
        <w:rPr>
          <w:rFonts w:hint="eastAsia" w:asciiTheme="minorEastAsia" w:hAnsiTheme="minorEastAsia" w:eastAsiaTheme="minorEastAsia" w:cstheme="minorEastAsia"/>
          <w:color w:val="auto"/>
          <w:lang w:eastAsia="zh-CN"/>
        </w:rPr>
        <w:t>”</w:t>
      </w:r>
      <w:r>
        <w:rPr>
          <w:rFonts w:hint="eastAsia" w:asciiTheme="minorEastAsia" w:hAnsiTheme="minorEastAsia" w:eastAsiaTheme="minorEastAsia" w:cstheme="minorEastAsia"/>
          <w:color w:val="auto"/>
        </w:rPr>
        <w:t>×0）/总样本数×100%=（81×1+0×0</w:t>
      </w:r>
      <w:r>
        <w:rPr>
          <w:rFonts w:hint="eastAsia" w:asciiTheme="minorEastAsia" w:hAnsiTheme="minorEastAsia" w:cstheme="minorEastAsia"/>
          <w:color w:val="auto"/>
          <w:lang w:eastAsia="zh-CN"/>
        </w:rPr>
        <w:t>.8</w:t>
      </w:r>
      <w:r>
        <w:rPr>
          <w:rFonts w:hint="eastAsia" w:asciiTheme="minorEastAsia" w:hAnsiTheme="minorEastAsia" w:eastAsiaTheme="minorEastAsia" w:cstheme="minorEastAsia"/>
          <w:color w:val="auto"/>
        </w:rPr>
        <w:t>+0×0</w:t>
      </w:r>
      <w:r>
        <w:rPr>
          <w:rFonts w:hint="eastAsia" w:asciiTheme="minorEastAsia" w:hAnsiTheme="minorEastAsia" w:cstheme="minorEastAsia"/>
          <w:color w:val="auto"/>
          <w:lang w:eastAsia="zh-CN"/>
        </w:rPr>
        <w:t>.6</w:t>
      </w:r>
      <w:r>
        <w:rPr>
          <w:rFonts w:hint="eastAsia" w:asciiTheme="minorEastAsia" w:hAnsiTheme="minorEastAsia" w:eastAsiaTheme="minorEastAsia" w:cstheme="minorEastAsia"/>
          <w:color w:val="auto"/>
        </w:rPr>
        <w:t>+0×0）/81×100%=100%，得分=（实际完成率-60%） /（1-60%） ×指标分值=40%/（1-60%）×13=13，得13分。</w:t>
      </w:r>
    </w:p>
    <w:p>
      <w:pPr>
        <w:spacing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该指标满分为13分，根据评分标准得13分。</w:t>
      </w:r>
    </w:p>
    <w:p>
      <w:pPr>
        <w:pStyle w:val="5"/>
        <w:pageBreakBefore w:val="0"/>
        <w:kinsoku/>
        <w:wordWrap/>
        <w:overflowPunct/>
        <w:topLinePunct w:val="0"/>
        <w:autoSpaceDE/>
        <w:autoSpaceDN/>
        <w:bidi w:val="0"/>
        <w:snapToGrid w:val="0"/>
        <w:spacing w:before="0" w:after="0" w:line="360" w:lineRule="auto"/>
        <w:ind w:firstLine="482"/>
        <w:rPr>
          <w:color w:val="auto"/>
        </w:rPr>
      </w:pPr>
      <w:bookmarkStart w:id="58" w:name="_Toc30458"/>
      <w:bookmarkStart w:id="59" w:name="_Toc16607"/>
      <w:r>
        <w:rPr>
          <w:rFonts w:hint="eastAsia"/>
          <w:color w:val="auto"/>
        </w:rPr>
        <w:t>六</w:t>
      </w:r>
      <w:r>
        <w:rPr>
          <w:color w:val="auto"/>
        </w:rPr>
        <w:t>、主要经验及做法、存在的问题及原</w:t>
      </w:r>
      <w:bookmarkStart w:id="95" w:name="_GoBack"/>
      <w:bookmarkEnd w:id="95"/>
      <w:r>
        <w:rPr>
          <w:color w:val="auto"/>
        </w:rPr>
        <w:t>因分析</w:t>
      </w:r>
      <w:bookmarkEnd w:id="58"/>
      <w:bookmarkEnd w:id="59"/>
    </w:p>
    <w:p>
      <w:pPr>
        <w:pStyle w:val="6"/>
        <w:pageBreakBefore w:val="0"/>
        <w:kinsoku/>
        <w:wordWrap/>
        <w:overflowPunct/>
        <w:topLinePunct w:val="0"/>
        <w:autoSpaceDE/>
        <w:autoSpaceDN/>
        <w:bidi w:val="0"/>
        <w:snapToGrid w:val="0"/>
        <w:spacing w:before="0" w:after="0" w:line="360" w:lineRule="auto"/>
        <w:ind w:firstLine="482"/>
        <w:rPr>
          <w:color w:val="auto"/>
        </w:rPr>
      </w:pPr>
      <w:bookmarkStart w:id="60" w:name="_Toc28227"/>
      <w:bookmarkStart w:id="61" w:name="_Toc16974"/>
      <w:bookmarkStart w:id="62" w:name="_Toc15518"/>
      <w:bookmarkStart w:id="63" w:name="_Toc14662"/>
      <w:r>
        <w:rPr>
          <w:color w:val="auto"/>
        </w:rPr>
        <w:t>（一）主要经验及做法</w:t>
      </w:r>
      <w:bookmarkEnd w:id="60"/>
      <w:bookmarkEnd w:id="61"/>
      <w:bookmarkEnd w:id="62"/>
      <w:bookmarkEnd w:id="63"/>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一是加强队伍建设。在人员选聘环节，严格遵循“公开、公平、公正”原则，通过县乡村三级联动机制，从脱贫人口中择优选拔80余名管护人员。选聘过程严格执行公告发布、个人申请、村级评议、乡镇审核、县级备案等程序，并在各村进行公示，确保选聘工作透明规范。在队伍管理方面，实行“能进能出”的动态调整机制，建立以日常考勤、巡护成效、管护质量为核心的考核评价体系，对履职不到位的及时予以调整，同时通过公开程序补充合格人员。依托信息化管理平台，实现对护林员巡护轨迹的实时监控和定期抽查，确保每片林区、每个山头都有专人负责，切实做到责任到人、管护到位。</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二是加强培训，定制管理制度。通过定期组织专业培训，系统提升护林员的政策法规意识和业务能力，重点强化林业法律法规、生态保护政策、病虫害防治等专业知识。各乡镇林业站建立常态化考核机制，对护林员履职情况进行定期评估，确保管护区域内野生动植物资源得到有效保护。管理机制方面，实行规范化档案管理和动态聘用制度。建立县乡两级联动的档案管理体系，配备专人负责档案资料的收集整理。推行年度考核与聘用相结合的动态管理机制，对表现优秀的护林员予以续聘，对不符合岗位要求的及时调整，确保管护队伍始终保持良好工作状态。</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三是加强资金监管及风险防控。分级档案管理体系。建立覆盖区县乡三级的档案管理网络，实行管护协议标准化归档制度，通过规范选聘材料、日常巡护记录、绩效考核资料等关键环节的档案管理，形成完整的工作痕迹链条，为审计监督提供可靠依据；职业保障机制。为在岗人员统一购买人身意外险，配备日常管护必需品，确保管护员人身安全的前提下，对护林工作日常需求做到有效保障；动态管理机制。实施健康状况跟踪监测制度，对不符合岗位身体条件要求的人员建立科学评估和有序退出机制，及时调整不适合继续从事野外作业的人员岗位。</w:t>
      </w:r>
    </w:p>
    <w:p>
      <w:pPr>
        <w:pStyle w:val="6"/>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64" w:name="_Toc13318"/>
      <w:bookmarkStart w:id="65" w:name="_Toc4015"/>
      <w:bookmarkStart w:id="66" w:name="_Toc6684"/>
      <w:bookmarkStart w:id="67" w:name="_Toc370"/>
      <w:r>
        <w:rPr>
          <w:rFonts w:ascii="Times New Roman" w:hAnsi="Times New Roman"/>
          <w:color w:val="auto"/>
        </w:rPr>
        <w:t>（二）存在的问题</w:t>
      </w:r>
      <w:bookmarkEnd w:id="64"/>
      <w:bookmarkEnd w:id="65"/>
      <w:bookmarkEnd w:id="66"/>
      <w:bookmarkEnd w:id="67"/>
    </w:p>
    <w:p>
      <w:pPr>
        <w:pageBreakBefore w:val="0"/>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1.实际工作开展情况与计划存在实质性偏差</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经查证项目的《项目支出绩效目标表》，该项目有绩效目标，具体目标内容：“项目总投资495万元，其中，管护人员劳务467.12万元，用于82名公益林管护员的劳务报酬；日常管护27.88万元，用于保障64.51万亩国家级公益林的日常管护工作。开展2024年森林督查调查，规范有序推进森林保护和林业执法工作。”但，《项目支出绩效目标表》中未设定与森林督查调查有关的指标，指标设定缺乏明确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经查证《新疆维吾尔自治区巴楚县2024年中央财政林业草原改革发展资金森林保护修复项目实施方案》显示，“5月份开展一次集中培训学习、10月份开展一次集中培训学习”，但根据绩效目标表中未设置培训工作次数，与实际工作内容缺乏相关性、一致性。综上所述，工作开展时间节点与计划节点不一致，与实际工作内容缺乏相关性、一致性。</w:t>
      </w:r>
    </w:p>
    <w:p>
      <w:pPr>
        <w:pageBreakBefore w:val="0"/>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2.资金使用缺乏合规性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协议执行偏差，签订加油协议价款2万元，实际提供的《巴楚县自然资源局公务用车加油登记表》中加油费为2</w:t>
      </w:r>
      <w:r>
        <w:rPr>
          <w:rFonts w:hint="eastAsia" w:asciiTheme="minorEastAsia" w:hAnsiTheme="minorEastAsia" w:cstheme="minorEastAsia"/>
          <w:color w:val="auto"/>
          <w:lang w:eastAsia="zh-CN"/>
        </w:rPr>
        <w:t>.4</w:t>
      </w:r>
      <w:r>
        <w:rPr>
          <w:rFonts w:hint="eastAsia" w:asciiTheme="minorEastAsia" w:hAnsiTheme="minorEastAsia" w:eastAsiaTheme="minorEastAsia" w:cstheme="minorEastAsia"/>
          <w:color w:val="auto"/>
        </w:rPr>
        <w:t>万元，超出协议价款0</w:t>
      </w:r>
      <w:r>
        <w:rPr>
          <w:rFonts w:hint="eastAsia" w:asciiTheme="minorEastAsia" w:hAnsiTheme="minorEastAsia" w:cstheme="minorEastAsia"/>
          <w:color w:val="auto"/>
          <w:lang w:eastAsia="zh-CN"/>
        </w:rPr>
        <w:t>.4</w:t>
      </w:r>
      <w:r>
        <w:rPr>
          <w:rFonts w:hint="eastAsia" w:asciiTheme="minorEastAsia" w:hAnsiTheme="minorEastAsia" w:eastAsiaTheme="minorEastAsia" w:cstheme="minorEastAsia"/>
          <w:color w:val="auto"/>
        </w:rPr>
        <w:t>万元；车牌新Q91128车辆于2024年8月14日单日两次加油共计695元，缺乏合理性；财务报销程序不完善，水电费缴纳3万元未附缴费通知单及费用报销单，资金拨付审批手续不完整。</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经查阅《巴楚县自然资源局党组2024年第六次会议纪要》（巴自资党纪〔2024〕6号）以及国库支付凭证，单位直接缴纳3万元的水电费，支付行为未附水电费缴费通知单及费用报销单，单位内部审批资金的拨付缺乏完整的审批程序和手续。</w:t>
      </w:r>
    </w:p>
    <w:p>
      <w:pPr>
        <w:pageBreakBefore w:val="0"/>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3.合同管理缺乏规范性</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经查证《合同》《验收单》，单位与中华联合财产保险股份有限公司巴楚县支公司签订意外伤害保险服务合同、与巴楚县鸿运广告部签订广告制作、宣传合同、与新疆昊森工程科技有限公司签订巴楚县2024年森林督查调查项目合同时，合同签订日期及验收时间均未填写，合同文本要件不完整，不符合《中华人民共和国政府采购法实施条例》关于合同管理的规范性要求。</w:t>
      </w:r>
    </w:p>
    <w:p>
      <w:pPr>
        <w:pStyle w:val="5"/>
        <w:pageBreakBefore w:val="0"/>
        <w:kinsoku/>
        <w:wordWrap/>
        <w:overflowPunct/>
        <w:topLinePunct w:val="0"/>
        <w:autoSpaceDE/>
        <w:autoSpaceDN/>
        <w:bidi w:val="0"/>
        <w:snapToGrid w:val="0"/>
        <w:spacing w:before="0" w:after="0" w:line="360" w:lineRule="auto"/>
        <w:ind w:firstLine="482"/>
        <w:rPr>
          <w:color w:val="auto"/>
        </w:rPr>
      </w:pPr>
      <w:bookmarkStart w:id="68" w:name="_Toc15177"/>
      <w:bookmarkStart w:id="69" w:name="_Toc13947"/>
      <w:bookmarkStart w:id="70" w:name="_Toc8112"/>
      <w:bookmarkStart w:id="71" w:name="_Toc692"/>
      <w:r>
        <w:rPr>
          <w:rFonts w:hint="eastAsia"/>
          <w:color w:val="auto"/>
        </w:rPr>
        <w:t>七</w:t>
      </w:r>
      <w:r>
        <w:rPr>
          <w:color w:val="auto"/>
        </w:rPr>
        <w:t>、有关建议</w:t>
      </w:r>
      <w:bookmarkEnd w:id="68"/>
      <w:bookmarkEnd w:id="69"/>
      <w:bookmarkEnd w:id="70"/>
      <w:bookmarkEnd w:id="71"/>
    </w:p>
    <w:p>
      <w:pPr>
        <w:pageBreakBefore w:val="0"/>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1.绩效目标管理优化方案</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建立绩效目标动态调整机制，要求项目实施业务科室在资金批复后积极完成绩效目标与实施方案的匹配性复核，确保成本指标细化到具体支出方向；强化人员经费标准执行监管，对住房公积金等福利性支出实行“申报—备案—核查”三级管控，杜绝在没有具体下达文件时提高支出标准；将培训计划纳入绩效目标强制性指标，实行“计划报备—过程留痕—效果评估”全流程管理。</w:t>
      </w:r>
    </w:p>
    <w:p>
      <w:pPr>
        <w:pageBreakBefore w:val="0"/>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2.资金使用监管机制</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推行公务用车“一车一卡”加油制度，建立异常消费预警机制，对单日多次加油等行为实行事前审批；严格执行预算刚性约束，超支部分需经财政部门专题审核后方可列支，并建立跨年度预算调剂机制；完善财务报销“双附件”制度，要求所有支付凭证必须附具原始单据及审批流程记录。</w:t>
      </w:r>
    </w:p>
    <w:p>
      <w:pPr>
        <w:pageBreakBefore w:val="0"/>
        <w:kinsoku/>
        <w:wordWrap/>
        <w:overflowPunct/>
        <w:topLinePunct w:val="0"/>
        <w:autoSpaceDE/>
        <w:autoSpaceDN/>
        <w:bidi w:val="0"/>
        <w:snapToGrid w:val="0"/>
        <w:spacing w:before="0" w:after="0" w:line="360" w:lineRule="auto"/>
        <w:ind w:firstLine="420"/>
        <w:rPr>
          <w:rFonts w:hint="eastAsia"/>
          <w:b/>
          <w:bCs/>
          <w:color w:val="auto"/>
        </w:rPr>
      </w:pPr>
      <w:r>
        <w:rPr>
          <w:rFonts w:hint="eastAsia"/>
          <w:b/>
          <w:bCs/>
          <w:color w:val="auto"/>
        </w:rPr>
        <w:t>3.加强合同执行与管理，遵守合同结算约定</w:t>
      </w:r>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一是通过开展培训、考核等方式加强学习，进一步提高干部职工的业务能力，强化合同风险的识别和规避意识。二是加强合同管理责任。合同签订前，加强对合同主体资格、履约能力、社会信用等条件的审核，签订的合同尽量使用标准合同文本，重点关注供货时间、供货内容、约定支付方式等方面，防范合同履约风险；合同签订后，强化合同执行全过程监督检查，重点关注各阶段合同管理及执行情况，以此来督促合同主体遵循合同履约责任和义务，降低合同风险。</w:t>
      </w:r>
    </w:p>
    <w:p>
      <w:pPr>
        <w:pStyle w:val="5"/>
        <w:pageBreakBefore w:val="0"/>
        <w:kinsoku/>
        <w:wordWrap/>
        <w:overflowPunct/>
        <w:topLinePunct w:val="0"/>
        <w:autoSpaceDE/>
        <w:autoSpaceDN/>
        <w:bidi w:val="0"/>
        <w:snapToGrid w:val="0"/>
        <w:spacing w:before="0" w:after="0" w:line="360" w:lineRule="auto"/>
        <w:ind w:firstLine="482"/>
        <w:rPr>
          <w:color w:val="auto"/>
        </w:rPr>
      </w:pPr>
      <w:bookmarkStart w:id="72" w:name="_Toc11251"/>
      <w:bookmarkStart w:id="73" w:name="_Toc32445"/>
      <w:r>
        <w:rPr>
          <w:rFonts w:hint="eastAsia"/>
          <w:color w:val="auto"/>
        </w:rPr>
        <w:t>八</w:t>
      </w:r>
      <w:r>
        <w:rPr>
          <w:color w:val="auto"/>
        </w:rPr>
        <w:t>、其他需要说明的问题</w:t>
      </w:r>
      <w:bookmarkEnd w:id="72"/>
      <w:bookmarkEnd w:id="73"/>
    </w:p>
    <w:p>
      <w:pPr>
        <w:pageBreakBefore w:val="0"/>
        <w:kinsoku/>
        <w:wordWrap/>
        <w:overflowPunct/>
        <w:topLinePunct w:val="0"/>
        <w:autoSpaceDE/>
        <w:autoSpaceDN/>
        <w:bidi w:val="0"/>
        <w:snapToGrid w:val="0"/>
        <w:spacing w:before="0" w:after="0" w:line="360" w:lineRule="auto"/>
        <w:ind w:firstLine="42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pPr>
        <w:pageBreakBefore w:val="0"/>
        <w:kinsoku/>
        <w:wordWrap/>
        <w:overflowPunct/>
        <w:topLinePunct w:val="0"/>
        <w:autoSpaceDE/>
        <w:autoSpaceDN/>
        <w:bidi w:val="0"/>
        <w:snapToGrid w:val="0"/>
        <w:spacing w:before="0" w:after="0" w:line="240" w:lineRule="auto"/>
        <w:ind w:firstLine="420"/>
        <w:rPr>
          <w:color w:val="auto"/>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color w:val="auto"/>
              </w:rPr>
            </w:pPr>
            <w:r>
              <w:rPr>
                <w:rFonts w:eastAsia="黑体"/>
                <w:color w:val="auto"/>
              </w:rPr>
              <w:t>评价机构：新疆驰远天合有限责任会计师事务所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pPr>
              <w:pageBreakBefore w:val="0"/>
              <w:kinsoku/>
              <w:wordWrap/>
              <w:overflowPunct/>
              <w:topLinePunct w:val="0"/>
              <w:autoSpaceDE/>
              <w:autoSpaceDN/>
              <w:bidi w:val="0"/>
              <w:snapToGrid w:val="0"/>
              <w:spacing w:before="0" w:after="0" w:line="240" w:lineRule="auto"/>
              <w:ind w:firstLine="420"/>
              <w:rPr>
                <w:color w:val="auto"/>
              </w:rPr>
            </w:pPr>
          </w:p>
        </w:tc>
        <w:tc>
          <w:tcPr>
            <w:tcW w:w="4798" w:type="dxa"/>
            <w:tcBorders>
              <w:top w:val="nil"/>
              <w:left w:val="nil"/>
              <w:bottom w:val="nil"/>
              <w:right w:val="nil"/>
            </w:tcBorders>
            <w:vAlign w:val="center"/>
          </w:tcPr>
          <w:p>
            <w:pPr>
              <w:pageBreakBefore w:val="0"/>
              <w:kinsoku/>
              <w:wordWrap/>
              <w:overflowPunct/>
              <w:topLinePunct w:val="0"/>
              <w:autoSpaceDE/>
              <w:autoSpaceDN/>
              <w:bidi w:val="0"/>
              <w:snapToGrid w:val="0"/>
              <w:spacing w:before="0" w:after="0" w:line="240" w:lineRule="auto"/>
              <w:ind w:firstLine="0" w:firstLineChars="0"/>
              <w:rPr>
                <w:color w:val="auto"/>
              </w:rPr>
            </w:pPr>
            <w:r>
              <w:rPr>
                <w:rFonts w:eastAsia="黑体"/>
                <w:color w:val="auto"/>
              </w:rPr>
              <w:t>评价时间：202</w:t>
            </w:r>
            <w:r>
              <w:rPr>
                <w:rFonts w:hint="eastAsia" w:eastAsia="黑体"/>
                <w:color w:val="auto"/>
                <w:lang w:val="en-US" w:eastAsia="zh-CN"/>
              </w:rPr>
              <w:t>5</w:t>
            </w:r>
            <w:r>
              <w:rPr>
                <w:rFonts w:eastAsia="黑体"/>
                <w:color w:val="auto"/>
              </w:rPr>
              <w:t>年</w:t>
            </w:r>
            <w:r>
              <w:rPr>
                <w:rFonts w:hint="eastAsia" w:eastAsia="黑体"/>
                <w:color w:val="auto"/>
                <w:lang w:val="en-US" w:eastAsia="zh-CN"/>
              </w:rPr>
              <w:t>07</w:t>
            </w:r>
            <w:r>
              <w:rPr>
                <w:rFonts w:hint="eastAsia" w:eastAsia="黑体"/>
                <w:color w:val="auto"/>
              </w:rPr>
              <w:t>月</w:t>
            </w:r>
          </w:p>
        </w:tc>
      </w:tr>
    </w:tbl>
    <w:p>
      <w:pPr>
        <w:pageBreakBefore w:val="0"/>
        <w:kinsoku/>
        <w:wordWrap/>
        <w:overflowPunct/>
        <w:topLinePunct w:val="0"/>
        <w:autoSpaceDE/>
        <w:autoSpaceDN/>
        <w:bidi w:val="0"/>
        <w:snapToGrid w:val="0"/>
        <w:spacing w:before="0" w:after="0" w:line="360" w:lineRule="auto"/>
        <w:ind w:firstLine="3150" w:firstLineChars="1500"/>
        <w:rPr>
          <w:rFonts w:eastAsia="黑体"/>
          <w:color w:val="auto"/>
        </w:rPr>
        <w:sectPr>
          <w:footerReference r:id="rId12" w:type="default"/>
          <w:pgSz w:w="11906" w:h="16838"/>
          <w:pgMar w:top="1440" w:right="1800" w:bottom="1440" w:left="1800" w:header="851" w:footer="907" w:gutter="0"/>
          <w:pgNumType w:start="1"/>
          <w:cols w:space="425" w:num="1"/>
          <w:docGrid w:type="lines" w:linePitch="312" w:charSpace="0"/>
        </w:sectPr>
      </w:pPr>
    </w:p>
    <w:p>
      <w:pPr>
        <w:pStyle w:val="5"/>
        <w:pageBreakBefore w:val="0"/>
        <w:kinsoku/>
        <w:wordWrap/>
        <w:overflowPunct/>
        <w:topLinePunct w:val="0"/>
        <w:autoSpaceDE/>
        <w:autoSpaceDN/>
        <w:bidi w:val="0"/>
        <w:snapToGrid w:val="0"/>
        <w:spacing w:before="0" w:after="0" w:line="360" w:lineRule="auto"/>
        <w:ind w:firstLine="0" w:firstLineChars="0"/>
      </w:pPr>
      <w:bookmarkStart w:id="74" w:name="_Toc20690"/>
      <w:r>
        <w:t>附件1：绩效评价指标体系及综合评价表</w:t>
      </w:r>
      <w:bookmarkEnd w:id="74"/>
    </w:p>
    <w:p>
      <w:pPr>
        <w:pageBreakBefore w:val="0"/>
        <w:kinsoku/>
        <w:wordWrap/>
        <w:overflowPunct/>
        <w:topLinePunct w:val="0"/>
        <w:autoSpaceDE/>
        <w:autoSpaceDN/>
        <w:bidi w:val="0"/>
        <w:snapToGrid w:val="0"/>
        <w:spacing w:before="0" w:after="0" w:line="360" w:lineRule="auto"/>
        <w:ind w:firstLine="422"/>
        <w:jc w:val="center"/>
        <w:rPr>
          <w:rFonts w:eastAsia="宋体"/>
          <w:b/>
          <w:bCs/>
        </w:rPr>
      </w:pPr>
      <w:r>
        <w:rPr>
          <w:rFonts w:eastAsia="宋体"/>
          <w:b/>
          <w:bCs/>
          <w:lang w:val="en-US"/>
        </w:rPr>
        <w:t>2024年中央林业草原生态保护恢复资金（森林保护修复）项目</w:t>
      </w:r>
      <w:r>
        <w:rPr>
          <w:rFonts w:eastAsia="宋体"/>
          <w:b/>
          <w:bCs/>
        </w:rPr>
        <w:t>绩效评价指标体系及综合评分表</w:t>
      </w:r>
    </w:p>
    <w:tbl>
      <w:tblPr>
        <w:tblStyle w:val="18"/>
        <w:tblW w:w="4996" w:type="pct"/>
        <w:tblInd w:w="0" w:type="dxa"/>
        <w:tblLayout w:type="fixed"/>
        <w:tblCellMar>
          <w:top w:w="0" w:type="dxa"/>
          <w:left w:w="51" w:type="dxa"/>
          <w:bottom w:w="0" w:type="dxa"/>
          <w:right w:w="51" w:type="dxa"/>
        </w:tblCellMar>
      </w:tblPr>
      <w:tblGrid>
        <w:gridCol w:w="692"/>
        <w:gridCol w:w="799"/>
        <w:gridCol w:w="1069"/>
        <w:gridCol w:w="1575"/>
        <w:gridCol w:w="5590"/>
        <w:gridCol w:w="978"/>
        <w:gridCol w:w="978"/>
        <w:gridCol w:w="819"/>
        <w:gridCol w:w="719"/>
        <w:gridCol w:w="829"/>
      </w:tblGrid>
      <w:tr>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kern w:val="0"/>
                <w:sz w:val="20"/>
                <w:szCs w:val="20"/>
                <w:lang w:bidi="ar"/>
              </w:rPr>
            </w:pPr>
            <w:r>
              <w:rPr>
                <w:rFonts w:hint="eastAsia" w:ascii="宋体" w:hAnsi="宋体" w:eastAsia="宋体" w:cs="宋体"/>
                <w:b/>
                <w:bCs/>
                <w:color w:val="000000"/>
                <w:kern w:val="0"/>
                <w:sz w:val="20"/>
                <w:szCs w:val="20"/>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三级指标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指标解释</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评价标准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标杆分值</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指标得分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lang w:bidi="ar"/>
              </w:rPr>
              <w:t>得分率</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A决策（10分）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A1项目立项（3分）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A11立项依据充分性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项目立项是否符合法律法规、相关政策、发展规划以及部门职责，用以反映和考核项目立项依据情况。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①项目立项是否符合国家法律法规、国民经济发展规划和相关政策；</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②项目立项是否符合行业发展规划和政策要求；</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③项目立项是否与部门职责范围相符，属于部门履职所需；</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④项目是否属于公共财政支持范围，是否符合中央、地方事权支出责任划分原则；</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⑤项目是否与相关部门同类项目或部门内部相关项目重复。</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以上五项中，若存在任意不符合情况，每发现一处不符扣0.5分，扣完为止。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充分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充分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A12立项程序规范性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项目申请、设立过程是否符合相关要求，用以反映和考核项目立项的规范情况。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①项目是否按照规定的程序申请设立；</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②审批文件、材料是否符合相关要求；</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③事前是否已经过必要的可行性研究、专家论证、风险评估、绩效评估、集体决策。</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以上三项中，每发现一处不符扣0.5分，扣完为止。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A2绩效目标（4分）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A21绩效目标合理性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项目所设定的绩效目标是否依据充分，是否符合客观实际，用以反映和考核项目绩效目标与项目实施的相符情况。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①项目是否有绩效目标；</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②项目绩效目标与实际工作内容是否具有相关性；</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③项目预期产出效益和效果是否符合正常的业绩水平；</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④是否与预算确定的项目投资额或资金量相匹配。</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若①不符合，则此指标不得分；若①符合，则每发现一处不符扣0.2分，扣完为止。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较合理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80%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A22绩效指标明确性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依据绩效目标设定的绩效指标是否清晰、细化、可衡量等，用以反映和考核项目绩效目标的明细化情况。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A3资金投入（3分）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A31预算编制科学性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项目预算编制是否经过科学论证、有明确标准，资金额度与年度目标是否相适应，用以反映和考核项目预算编制的科学性、合理性情况。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①预算编制是否经过科学论证；</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②预算内容与项目内容是否匹配；</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③预算额度测算依据是否充分，是否按照标准编制；</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④预算确定的项目投资额或资金量是否与工作任务相匹配。</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科学</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科学</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A32资金分配合理性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项目预算资金分配是否有测算依据，与补助单位或地方实际是否相适应，用以反映和考核项目预算资金分配的科学性、合理性情况。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①预算资金分配依据是否充分；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②资金分配额度是否合理，与项目单位或地方实际是否相适应。</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以上每发现一处不符扣0.5分，扣完为止。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w:t>
            </w:r>
            <w:r>
              <w:rPr>
                <w:rFonts w:hint="eastAsia"/>
                <w:color w:val="000000"/>
                <w:kern w:val="0"/>
                <w:sz w:val="20"/>
                <w:szCs w:val="20"/>
                <w:lang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9</w:t>
            </w:r>
            <w:r>
              <w:rPr>
                <w:rFonts w:hint="eastAsia"/>
                <w:color w:val="000000"/>
                <w:kern w:val="0"/>
                <w:sz w:val="20"/>
                <w:szCs w:val="20"/>
                <w:lang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96%</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B过程（25分）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B1资金管理（13分）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B11资金到位率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实际到位资金与预算资金的比率，用以反映和考核资金落实情况对项目实施的总体保障程度。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资金到位率=（实际到位资金/预算资金）×100%。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项目完成且资金到位数满足年度预算规模需求，得3分；项目尚未完成，资金到位率小于100%且大于等于80%的得2分，资金到位率小于80%且大于等于60%的得1</w:t>
            </w:r>
            <w:r>
              <w:rPr>
                <w:rFonts w:hint="eastAsia"/>
                <w:color w:val="000000"/>
                <w:kern w:val="0"/>
                <w:sz w:val="20"/>
                <w:szCs w:val="20"/>
                <w:lang w:eastAsia="zh-CN" w:bidi="ar"/>
              </w:rPr>
              <w:t>.5</w:t>
            </w:r>
            <w:r>
              <w:rPr>
                <w:rFonts w:hint="eastAsia"/>
                <w:color w:val="000000"/>
                <w:kern w:val="0"/>
                <w:sz w:val="20"/>
                <w:szCs w:val="20"/>
                <w:lang w:bidi="ar"/>
              </w:rPr>
              <w:t>分，资金到位率小于60%的不得分。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B12预算执行率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项目预算资金是否按照计划执行，用以反映或考核项目预算执行情况。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预算执行率=（实际支出资金/实际到位资金）×100%。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项目完成且执行数控制在年度预算规模之内的，得5分；项目尚未完成，预算执行率小于100%且大于等于80%的得3分，预算执行率小于80%且大于等于60%的得2分，预算执行率小于60%的不得分。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97.39%</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60%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B13资金使用合规性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考察项目单位资金的使用规范程度。项目资金使用是否符合相关法律法规、制度和规定，用以反映和考核项目资金使用的规范性和安全性。</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①是否符合国家财经法规和财务管理制度以及有关专项资金管理办法的规定；</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②是否符合项目预算批复或合同规定的用途；</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③是否存在截留、挤占、挪用、虚列支出等情况；</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④资金的拨付是否有完整的审批程序和手续。</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以上四项不满足①或②或③时属于严重违规事项，本项指标不得分，在符合①、②和③的条件下，其他各项符合则得分，否则，每发现一处不符扣0.5分，扣完为止。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较合规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80%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B2组织实施（12分）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B21管理制度健全性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项目实施单位的财务和业务管理制度是否健全，用以反映和考核财务和业务管理制度对项目顺利实施的保障情况。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①是否已制定或具有相应的财务和业务管理制度；</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②财务和业务管理制度是否合法、合规、完整。</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以上两项分别占50%的权重分，符合则得分；存在部分制度缺失、内容不完整或不满足管理要求的，每发现一处不符扣0.5分，各权重分扣完为止。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B22制度执行有效性</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项目实施是否符合相关管理规定，用以反映和考核相关管理制度的有效执行情况。</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评价要点：</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①是否遵守相关法律法规和相关管理规定；</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②项目调整及支出调整手续是否完备；</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③项目合同书、验收报告、技术鉴定等资料是否齐全并及时归档；</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④项目实施的人员条件、场地设备、信息支撑等是否落实到位。</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以上四项中发现任意一处制度执行不到位的扣0.5分，扣完为止。</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较有效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8</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7</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87</w:t>
            </w:r>
            <w:r>
              <w:rPr>
                <w:rFonts w:hint="eastAsia"/>
                <w:color w:val="000000"/>
                <w:kern w:val="0"/>
                <w:sz w:val="20"/>
                <w:szCs w:val="20"/>
                <w:lang w:eastAsia="zh-CN" w:bidi="ar"/>
              </w:rPr>
              <w:t>.5</w:t>
            </w:r>
            <w:r>
              <w:rPr>
                <w:rFonts w:hint="eastAsia"/>
                <w:color w:val="000000"/>
                <w:kern w:val="0"/>
                <w:sz w:val="20"/>
                <w:szCs w:val="20"/>
                <w:lang w:bidi="ar"/>
              </w:rPr>
              <w:t>%</w:t>
            </w:r>
          </w:p>
        </w:tc>
      </w:tr>
      <w:tr>
        <w:tblPrEx>
          <w:tblCellMar>
            <w:top w:w="0" w:type="dxa"/>
            <w:left w:w="51" w:type="dxa"/>
            <w:bottom w:w="0" w:type="dxa"/>
            <w:right w:w="51" w:type="dxa"/>
          </w:tblCellMar>
        </w:tblPrEx>
        <w:trPr>
          <w:trHeight w:val="261" w:hRule="atLeast"/>
        </w:trPr>
        <w:tc>
          <w:tcPr>
            <w:tcW w:w="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21</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84%</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C产出（30分）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C1产出数量（13分）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C11国家级公益林管护面积</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项目实施的实际国家级公益林管护面积数与计划国家级公益林管护面积数的比率，用以反映和考核项目国家级公益林管护数量目标的实现程度。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①绩效目标超额完成，即实际完成率≥200%，得0分；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≥64.51万亩</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64.51万亩</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C12保障国家级公益林管护人员（续聘）人数</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项目实施的实际保障国家级公益林管护人员（续聘）人数与计划保障国家级公益林管护人员（续聘）人数的比率，用以反映和考核项目对保障国家级公益林管护人员（续聘）人数目标的实现程度。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①绩效目标超额完成，即实际完成率≥200%，得0分；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≥82人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81人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3.92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78</w:t>
            </w:r>
            <w:r>
              <w:rPr>
                <w:rFonts w:hint="eastAsia"/>
                <w:color w:val="000000"/>
                <w:kern w:val="0"/>
                <w:sz w:val="20"/>
                <w:szCs w:val="20"/>
                <w:lang w:eastAsia="zh-CN" w:bidi="ar"/>
              </w:rPr>
              <w:t>.4</w:t>
            </w:r>
            <w:r>
              <w:rPr>
                <w:rFonts w:hint="eastAsia"/>
                <w:color w:val="000000"/>
                <w:kern w:val="0"/>
                <w:sz w:val="20"/>
                <w:szCs w:val="20"/>
                <w:lang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C13开展培训次数</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项目实施的实际开展培训次数与计划开展培训次数的比率，用以反映和考核项目对管护人员开展培训次数目标的实现程度。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①绩效目标超额完成，即实际完成率≥200%，得0分；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≥2次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2次</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C14森林督查批次</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项目实施的实际森林督查批次与计划森林督查批次的比率，用以反映和考核项目森林督查目标的实现程度。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实际完成率=（实际产出数/计划产出数）×100.0%。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①绩效目标超额完成，即实际完成率≥200%，得0分；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②绩效目标超额完成，100%≤完成率&lt;200%，得分=（1-（实际完成率-100%））×权重分值；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③绩效目标未完成，若60%≤完成率&lt;100%，得分=（实际完成率-60%）/（1-60%）×权重分值；若完成率&lt;60%，得0分。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≥1批次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1批次</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C2产出质量（2分）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C21培训出勤率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项目实施的实际出勤人数与计划出勤人数的比率，用以反映和考核项目对管护人员培训考勤目标的实现程度。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实际完成率=实际验收合格数/计划验收合格数×100%。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实际完成率符合预期指标值得满分；预期指标未完成，且实际完成率大于60%的，按超过的比重赋分，计算公式为：得分=（实际完成率-60%）/（1-60%）×指标分值；完成率小于60%为不及格，不得分。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C3产出时效（2分）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C31补助资金发放及时率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项目实施的实际补助资金发放及时情况与计划补助资金发放及时情况的比率，用以反映和考核项目是否在规定时间内积极开展发放补助工作的实现程度。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实际完成率=实际及时发放金额/应发放金额×100.0%。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实际完成率符合预期指标值得满分；预期指标未完成，且实际完成率大于60%的，按超过的比重赋分，计算公式为：得分=（实际完成率-60.0%）/（1-60.0%）×指标分值；完成率小于60.0%为不及格，不得分。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C4产出成本（13分）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C41管护人员劳务支出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项目实施的实际发放管护人员劳务费与计划发放管护人员劳务费的比率，用以反映和考核项目发放管护人员劳务费目标的实现程度。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实际完成值=（实际支付资金数/计划应支付资金数）×100%。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①实际完成值大于年度指标值，得0得分；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③实际完成值小于年度指标值，且偏离程度大于等于20%，得0得分。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≤467.12万元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464.87万元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8</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C42日常管护支出</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项目实施的实际发放日常管护费与计划日常管护费的比率，用以反映和考核项目支付日常管护费费目标的实现程度。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实际完成值=（实际支付资金数/计划应支付资金数）×100%。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①实际完成值大于年度指标值，得0得分；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③实际完成值小于年度指标值，且偏离程度大于等于20%，得0得分。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≤17.88万元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17.21万元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C43森林督查费</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项目实施的实际发放森林督查费与计划森林督查费的比率，用以反映和考核项目支付森林督查费目标的实现程度。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实际完成值=（实际支付资金数/计划应支付资金数）×100%。</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①实际完成值大于年度指标值，得0得分；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②实际完成值小于等于年度指标值，且偏离程度小于20%，得满分；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③实际完成值小于年度指标值，且偏离程度大于等于20%，得0得分。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≤10万元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0万元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0%</w:t>
            </w:r>
          </w:p>
        </w:tc>
      </w:tr>
      <w:tr>
        <w:tblPrEx>
          <w:tblCellMar>
            <w:top w:w="0" w:type="dxa"/>
            <w:left w:w="51" w:type="dxa"/>
            <w:bottom w:w="0" w:type="dxa"/>
            <w:right w:w="51" w:type="dxa"/>
          </w:tblCellMar>
        </w:tblPrEx>
        <w:trPr>
          <w:trHeight w:val="261" w:hRule="atLeast"/>
        </w:trPr>
        <w:tc>
          <w:tcPr>
            <w:tcW w:w="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26.92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89.73%</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D效益（35分）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D1社会效益指标（22分）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D11提高生态管护员森林资源管护水平</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社会公众或服务对象对项目是否能够有效提高生态管护员森林资源管护水平的满意程度。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根据问卷调查情况进行评分，指标完成率=∑样本数（</w:t>
            </w:r>
            <w:r>
              <w:rPr>
                <w:rFonts w:hint="eastAsia"/>
                <w:color w:val="000000"/>
                <w:kern w:val="0"/>
                <w:sz w:val="20"/>
                <w:szCs w:val="20"/>
                <w:lang w:eastAsia="zh-CN" w:bidi="ar"/>
              </w:rPr>
              <w:t>“</w:t>
            </w:r>
            <w:r>
              <w:rPr>
                <w:rFonts w:hint="eastAsia"/>
                <w:color w:val="000000"/>
                <w:kern w:val="0"/>
                <w:sz w:val="20"/>
                <w:szCs w:val="20"/>
                <w:lang w:bidi="ar"/>
              </w:rPr>
              <w:t>有效提高</w:t>
            </w:r>
            <w:r>
              <w:rPr>
                <w:rFonts w:hint="eastAsia"/>
                <w:color w:val="000000"/>
                <w:kern w:val="0"/>
                <w:sz w:val="20"/>
                <w:szCs w:val="20"/>
                <w:lang w:eastAsia="zh-CN" w:bidi="ar"/>
              </w:rPr>
              <w:t>”</w:t>
            </w:r>
            <w:r>
              <w:rPr>
                <w:rFonts w:hint="eastAsia"/>
                <w:color w:val="000000"/>
                <w:kern w:val="0"/>
                <w:sz w:val="20"/>
                <w:szCs w:val="20"/>
                <w:lang w:bidi="ar"/>
              </w:rPr>
              <w:t>×1.0+</w:t>
            </w:r>
            <w:r>
              <w:rPr>
                <w:rFonts w:hint="eastAsia"/>
                <w:color w:val="000000"/>
                <w:kern w:val="0"/>
                <w:sz w:val="20"/>
                <w:szCs w:val="20"/>
                <w:lang w:eastAsia="zh-CN" w:bidi="ar"/>
              </w:rPr>
              <w:t>“</w:t>
            </w:r>
            <w:r>
              <w:rPr>
                <w:rFonts w:hint="eastAsia"/>
                <w:color w:val="000000"/>
                <w:kern w:val="0"/>
                <w:sz w:val="20"/>
                <w:szCs w:val="20"/>
                <w:lang w:bidi="ar"/>
              </w:rPr>
              <w:t>有所提高</w:t>
            </w:r>
            <w:r>
              <w:rPr>
                <w:rFonts w:hint="eastAsia"/>
                <w:color w:val="000000"/>
                <w:kern w:val="0"/>
                <w:sz w:val="20"/>
                <w:szCs w:val="20"/>
                <w:lang w:eastAsia="zh-CN" w:bidi="ar"/>
              </w:rPr>
              <w:t>”</w:t>
            </w:r>
            <w:r>
              <w:rPr>
                <w:rFonts w:hint="eastAsia"/>
                <w:color w:val="000000"/>
                <w:kern w:val="0"/>
                <w:sz w:val="20"/>
                <w:szCs w:val="20"/>
                <w:lang w:bidi="ar"/>
              </w:rPr>
              <w:t>×0.8+</w:t>
            </w:r>
            <w:r>
              <w:rPr>
                <w:rFonts w:hint="eastAsia"/>
                <w:color w:val="000000"/>
                <w:kern w:val="0"/>
                <w:sz w:val="20"/>
                <w:szCs w:val="20"/>
                <w:lang w:eastAsia="zh-CN" w:bidi="ar"/>
              </w:rPr>
              <w:t>“</w:t>
            </w:r>
            <w:r>
              <w:rPr>
                <w:rFonts w:hint="eastAsia"/>
                <w:color w:val="000000"/>
                <w:kern w:val="0"/>
                <w:sz w:val="20"/>
                <w:szCs w:val="20"/>
                <w:lang w:bidi="ar"/>
              </w:rPr>
              <w:t>一 般</w:t>
            </w:r>
            <w:r>
              <w:rPr>
                <w:rFonts w:hint="eastAsia"/>
                <w:color w:val="000000"/>
                <w:kern w:val="0"/>
                <w:sz w:val="20"/>
                <w:szCs w:val="20"/>
                <w:lang w:eastAsia="zh-CN" w:bidi="ar"/>
              </w:rPr>
              <w:t>”</w:t>
            </w:r>
            <w:r>
              <w:rPr>
                <w:rFonts w:hint="eastAsia"/>
                <w:color w:val="000000"/>
                <w:kern w:val="0"/>
                <w:sz w:val="20"/>
                <w:szCs w:val="20"/>
                <w:lang w:bidi="ar"/>
              </w:rPr>
              <w:t>×0.6+</w:t>
            </w:r>
            <w:r>
              <w:rPr>
                <w:rFonts w:hint="eastAsia"/>
                <w:color w:val="000000"/>
                <w:kern w:val="0"/>
                <w:sz w:val="20"/>
                <w:szCs w:val="20"/>
                <w:lang w:eastAsia="zh-CN" w:bidi="ar"/>
              </w:rPr>
              <w:t>“</w:t>
            </w:r>
            <w:r>
              <w:rPr>
                <w:rFonts w:hint="eastAsia"/>
                <w:color w:val="000000"/>
                <w:kern w:val="0"/>
                <w:sz w:val="20"/>
                <w:szCs w:val="20"/>
                <w:lang w:bidi="ar"/>
              </w:rPr>
              <w:t>提高效果较小</w:t>
            </w:r>
            <w:r>
              <w:rPr>
                <w:rFonts w:hint="eastAsia"/>
                <w:color w:val="000000"/>
                <w:kern w:val="0"/>
                <w:sz w:val="20"/>
                <w:szCs w:val="20"/>
                <w:lang w:eastAsia="zh-CN" w:bidi="ar"/>
              </w:rPr>
              <w:t>”</w:t>
            </w:r>
            <w:r>
              <w:rPr>
                <w:rFonts w:hint="eastAsia"/>
                <w:color w:val="000000"/>
                <w:kern w:val="0"/>
                <w:sz w:val="20"/>
                <w:szCs w:val="20"/>
                <w:lang w:bidi="ar"/>
              </w:rPr>
              <w:t>×0.3+</w:t>
            </w:r>
            <w:r>
              <w:rPr>
                <w:rFonts w:hint="eastAsia"/>
                <w:color w:val="000000"/>
                <w:kern w:val="0"/>
                <w:sz w:val="20"/>
                <w:szCs w:val="20"/>
                <w:lang w:eastAsia="zh-CN" w:bidi="ar"/>
              </w:rPr>
              <w:t>“</w:t>
            </w:r>
            <w:r>
              <w:rPr>
                <w:rFonts w:hint="eastAsia"/>
                <w:color w:val="000000"/>
                <w:kern w:val="0"/>
                <w:sz w:val="20"/>
                <w:szCs w:val="20"/>
                <w:lang w:bidi="ar"/>
              </w:rPr>
              <w:t>无效果</w:t>
            </w:r>
            <w:r>
              <w:rPr>
                <w:rFonts w:hint="eastAsia"/>
                <w:color w:val="000000"/>
                <w:kern w:val="0"/>
                <w:sz w:val="20"/>
                <w:szCs w:val="20"/>
                <w:lang w:eastAsia="zh-CN" w:bidi="ar"/>
              </w:rPr>
              <w:t>”</w:t>
            </w:r>
            <w:r>
              <w:rPr>
                <w:rFonts w:hint="eastAsia"/>
                <w:color w:val="000000"/>
                <w:kern w:val="0"/>
                <w:sz w:val="20"/>
                <w:szCs w:val="20"/>
                <w:lang w:bidi="ar"/>
              </w:rPr>
              <w:t>×0）/总样本数×100%，实际完成值分为基本达成目标、部分实现目标、实现目标程度较低三个档次,并分别按照该指标对应分值区间 100%-80%(含)、80%-60%（含)、60%-0%合理确定分值。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①指标完成率在100%-80%之间，得满分；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②指标完成率在80%-60%之间，得分=指标完成率×标杆分值；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有效提升</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12</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D12持续保障生态管护员基本生活需求</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社会公众或服务对象对项目是否能够持续保障生态管护员基本生活需求的满意程度。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根据问卷调查情况进行评分，指标完成率=∑样本数（</w:t>
            </w:r>
            <w:r>
              <w:rPr>
                <w:rFonts w:hint="eastAsia"/>
                <w:color w:val="000000"/>
                <w:kern w:val="0"/>
                <w:sz w:val="20"/>
                <w:szCs w:val="20"/>
                <w:lang w:eastAsia="zh-CN" w:bidi="ar"/>
              </w:rPr>
              <w:t>“</w:t>
            </w:r>
            <w:r>
              <w:rPr>
                <w:rFonts w:hint="eastAsia"/>
                <w:color w:val="000000"/>
                <w:kern w:val="0"/>
                <w:sz w:val="20"/>
                <w:szCs w:val="20"/>
                <w:lang w:bidi="ar"/>
              </w:rPr>
              <w:t>有效提高</w:t>
            </w:r>
            <w:r>
              <w:rPr>
                <w:rFonts w:hint="eastAsia"/>
                <w:color w:val="000000"/>
                <w:kern w:val="0"/>
                <w:sz w:val="20"/>
                <w:szCs w:val="20"/>
                <w:lang w:eastAsia="zh-CN" w:bidi="ar"/>
              </w:rPr>
              <w:t>”</w:t>
            </w:r>
            <w:r>
              <w:rPr>
                <w:rFonts w:hint="eastAsia"/>
                <w:color w:val="000000"/>
                <w:kern w:val="0"/>
                <w:sz w:val="20"/>
                <w:szCs w:val="20"/>
                <w:lang w:bidi="ar"/>
              </w:rPr>
              <w:t>×1.0+</w:t>
            </w:r>
            <w:r>
              <w:rPr>
                <w:rFonts w:hint="eastAsia"/>
                <w:color w:val="000000"/>
                <w:kern w:val="0"/>
                <w:sz w:val="20"/>
                <w:szCs w:val="20"/>
                <w:lang w:eastAsia="zh-CN" w:bidi="ar"/>
              </w:rPr>
              <w:t>“</w:t>
            </w:r>
            <w:r>
              <w:rPr>
                <w:rFonts w:hint="eastAsia"/>
                <w:color w:val="000000"/>
                <w:kern w:val="0"/>
                <w:sz w:val="20"/>
                <w:szCs w:val="20"/>
                <w:lang w:bidi="ar"/>
              </w:rPr>
              <w:t>有所提高</w:t>
            </w:r>
            <w:r>
              <w:rPr>
                <w:rFonts w:hint="eastAsia"/>
                <w:color w:val="000000"/>
                <w:kern w:val="0"/>
                <w:sz w:val="20"/>
                <w:szCs w:val="20"/>
                <w:lang w:eastAsia="zh-CN" w:bidi="ar"/>
              </w:rPr>
              <w:t>”</w:t>
            </w:r>
            <w:r>
              <w:rPr>
                <w:rFonts w:hint="eastAsia"/>
                <w:color w:val="000000"/>
                <w:kern w:val="0"/>
                <w:sz w:val="20"/>
                <w:szCs w:val="20"/>
                <w:lang w:bidi="ar"/>
              </w:rPr>
              <w:t>×0.8+</w:t>
            </w:r>
            <w:r>
              <w:rPr>
                <w:rFonts w:hint="eastAsia"/>
                <w:color w:val="000000"/>
                <w:kern w:val="0"/>
                <w:sz w:val="20"/>
                <w:szCs w:val="20"/>
                <w:lang w:eastAsia="zh-CN" w:bidi="ar"/>
              </w:rPr>
              <w:t>“</w:t>
            </w:r>
            <w:r>
              <w:rPr>
                <w:rFonts w:hint="eastAsia"/>
                <w:color w:val="000000"/>
                <w:kern w:val="0"/>
                <w:sz w:val="20"/>
                <w:szCs w:val="20"/>
                <w:lang w:bidi="ar"/>
              </w:rPr>
              <w:t>一 般</w:t>
            </w:r>
            <w:r>
              <w:rPr>
                <w:rFonts w:hint="eastAsia"/>
                <w:color w:val="000000"/>
                <w:kern w:val="0"/>
                <w:sz w:val="20"/>
                <w:szCs w:val="20"/>
                <w:lang w:eastAsia="zh-CN" w:bidi="ar"/>
              </w:rPr>
              <w:t>”</w:t>
            </w:r>
            <w:r>
              <w:rPr>
                <w:rFonts w:hint="eastAsia"/>
                <w:color w:val="000000"/>
                <w:kern w:val="0"/>
                <w:sz w:val="20"/>
                <w:szCs w:val="20"/>
                <w:lang w:bidi="ar"/>
              </w:rPr>
              <w:t>×0.6+</w:t>
            </w:r>
            <w:r>
              <w:rPr>
                <w:rFonts w:hint="eastAsia"/>
                <w:color w:val="000000"/>
                <w:kern w:val="0"/>
                <w:sz w:val="20"/>
                <w:szCs w:val="20"/>
                <w:lang w:eastAsia="zh-CN" w:bidi="ar"/>
              </w:rPr>
              <w:t>“</w:t>
            </w:r>
            <w:r>
              <w:rPr>
                <w:rFonts w:hint="eastAsia"/>
                <w:color w:val="000000"/>
                <w:kern w:val="0"/>
                <w:sz w:val="20"/>
                <w:szCs w:val="20"/>
                <w:lang w:bidi="ar"/>
              </w:rPr>
              <w:t>提高效果较小</w:t>
            </w:r>
            <w:r>
              <w:rPr>
                <w:rFonts w:hint="eastAsia"/>
                <w:color w:val="000000"/>
                <w:kern w:val="0"/>
                <w:sz w:val="20"/>
                <w:szCs w:val="20"/>
                <w:lang w:eastAsia="zh-CN" w:bidi="ar"/>
              </w:rPr>
              <w:t>”</w:t>
            </w:r>
            <w:r>
              <w:rPr>
                <w:rFonts w:hint="eastAsia"/>
                <w:color w:val="000000"/>
                <w:kern w:val="0"/>
                <w:sz w:val="20"/>
                <w:szCs w:val="20"/>
                <w:lang w:bidi="ar"/>
              </w:rPr>
              <w:t>×0.3+</w:t>
            </w:r>
            <w:r>
              <w:rPr>
                <w:rFonts w:hint="eastAsia"/>
                <w:color w:val="000000"/>
                <w:kern w:val="0"/>
                <w:sz w:val="20"/>
                <w:szCs w:val="20"/>
                <w:lang w:eastAsia="zh-CN" w:bidi="ar"/>
              </w:rPr>
              <w:t>“</w:t>
            </w:r>
            <w:r>
              <w:rPr>
                <w:rFonts w:hint="eastAsia"/>
                <w:color w:val="000000"/>
                <w:kern w:val="0"/>
                <w:sz w:val="20"/>
                <w:szCs w:val="20"/>
                <w:lang w:bidi="ar"/>
              </w:rPr>
              <w:t>无效果</w:t>
            </w:r>
            <w:r>
              <w:rPr>
                <w:rFonts w:hint="eastAsia"/>
                <w:color w:val="000000"/>
                <w:kern w:val="0"/>
                <w:sz w:val="20"/>
                <w:szCs w:val="20"/>
                <w:lang w:eastAsia="zh-CN" w:bidi="ar"/>
              </w:rPr>
              <w:t>”</w:t>
            </w:r>
            <w:r>
              <w:rPr>
                <w:rFonts w:hint="eastAsia"/>
                <w:color w:val="000000"/>
                <w:kern w:val="0"/>
                <w:sz w:val="20"/>
                <w:szCs w:val="20"/>
                <w:lang w:bidi="ar"/>
              </w:rPr>
              <w:t>×0）/总样本数×100%，实际完成值分为基本达成目标、部分实现目标、实现目标程度较低三个档次,并分别按照该指标对应分值区间 100%-80%(含)、80%-60%（含)、60%-0%合理确定分值。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①指标完成率在100%-80%之间，得满分；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②指标完成率在80%-60%之间，得分=指标完成率×标杆分值；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持续保障</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基本达成目标</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D2服务对象满意度指标（13分）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D21受益生态护林员满意度</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left"/>
              <w:textAlignment w:val="center"/>
              <w:rPr>
                <w:rFonts w:ascii="宋体" w:hAnsi="宋体" w:eastAsia="宋体" w:cs="宋体"/>
                <w:color w:val="000000"/>
                <w:kern w:val="0"/>
                <w:sz w:val="20"/>
                <w:szCs w:val="20"/>
                <w:lang w:bidi="ar"/>
              </w:rPr>
            </w:pPr>
            <w:r>
              <w:rPr>
                <w:rFonts w:hint="eastAsia"/>
                <w:color w:val="000000"/>
                <w:kern w:val="0"/>
                <w:sz w:val="20"/>
                <w:szCs w:val="20"/>
                <w:lang w:bidi="ar"/>
              </w:rPr>
              <w:t>社会公众或服务对象对项目实施效果的满意程度。</w:t>
            </w:r>
          </w:p>
        </w:tc>
        <w:tc>
          <w:tcPr>
            <w:tcW w:w="1989"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adjustRightInd w:val="0"/>
              <w:snapToGrid w:val="0"/>
              <w:spacing w:before="0" w:after="0" w:line="240" w:lineRule="auto"/>
              <w:ind w:firstLine="0" w:firstLineChars="0"/>
              <w:jc w:val="left"/>
              <w:textAlignment w:val="center"/>
              <w:rPr>
                <w:rFonts w:hint="eastAsia" w:ascii="宋体" w:hAnsi="宋体" w:eastAsia="宋体" w:cs="宋体"/>
                <w:color w:val="000000"/>
                <w:kern w:val="0"/>
                <w:sz w:val="20"/>
                <w:szCs w:val="20"/>
                <w:lang w:bidi="ar"/>
              </w:rPr>
            </w:pPr>
            <w:r>
              <w:rPr>
                <w:rFonts w:hint="eastAsia"/>
                <w:color w:val="000000"/>
                <w:kern w:val="0"/>
                <w:sz w:val="20"/>
                <w:szCs w:val="20"/>
                <w:lang w:bidi="ar"/>
              </w:rPr>
              <w:t>根据问卷调查情况进行评分，指标完成率=∑样本数（</w:t>
            </w:r>
            <w:r>
              <w:rPr>
                <w:rFonts w:hint="eastAsia"/>
                <w:color w:val="000000"/>
                <w:kern w:val="0"/>
                <w:sz w:val="20"/>
                <w:szCs w:val="20"/>
                <w:lang w:eastAsia="zh-CN" w:bidi="ar"/>
              </w:rPr>
              <w:t>“</w:t>
            </w:r>
            <w:r>
              <w:rPr>
                <w:rFonts w:hint="eastAsia"/>
                <w:color w:val="000000"/>
                <w:kern w:val="0"/>
                <w:sz w:val="20"/>
                <w:szCs w:val="20"/>
                <w:lang w:bidi="ar"/>
              </w:rPr>
              <w:t>有效提高</w:t>
            </w:r>
            <w:r>
              <w:rPr>
                <w:rFonts w:hint="eastAsia"/>
                <w:color w:val="000000"/>
                <w:kern w:val="0"/>
                <w:sz w:val="20"/>
                <w:szCs w:val="20"/>
                <w:lang w:eastAsia="zh-CN" w:bidi="ar"/>
              </w:rPr>
              <w:t>”</w:t>
            </w:r>
            <w:r>
              <w:rPr>
                <w:rFonts w:hint="eastAsia"/>
                <w:color w:val="000000"/>
                <w:kern w:val="0"/>
                <w:sz w:val="20"/>
                <w:szCs w:val="20"/>
                <w:lang w:bidi="ar"/>
              </w:rPr>
              <w:t>×1.0+</w:t>
            </w:r>
            <w:r>
              <w:rPr>
                <w:rFonts w:hint="eastAsia"/>
                <w:color w:val="000000"/>
                <w:kern w:val="0"/>
                <w:sz w:val="20"/>
                <w:szCs w:val="20"/>
                <w:lang w:eastAsia="zh-CN" w:bidi="ar"/>
              </w:rPr>
              <w:t>“</w:t>
            </w:r>
            <w:r>
              <w:rPr>
                <w:rFonts w:hint="eastAsia"/>
                <w:color w:val="000000"/>
                <w:kern w:val="0"/>
                <w:sz w:val="20"/>
                <w:szCs w:val="20"/>
                <w:lang w:bidi="ar"/>
              </w:rPr>
              <w:t>有所提高</w:t>
            </w:r>
            <w:r>
              <w:rPr>
                <w:rFonts w:hint="eastAsia"/>
                <w:color w:val="000000"/>
                <w:kern w:val="0"/>
                <w:sz w:val="20"/>
                <w:szCs w:val="20"/>
                <w:lang w:eastAsia="zh-CN" w:bidi="ar"/>
              </w:rPr>
              <w:t>”</w:t>
            </w:r>
            <w:r>
              <w:rPr>
                <w:rFonts w:hint="eastAsia"/>
                <w:color w:val="000000"/>
                <w:kern w:val="0"/>
                <w:sz w:val="20"/>
                <w:szCs w:val="20"/>
                <w:lang w:bidi="ar"/>
              </w:rPr>
              <w:t>×0.8+</w:t>
            </w:r>
            <w:r>
              <w:rPr>
                <w:rFonts w:hint="eastAsia"/>
                <w:color w:val="000000"/>
                <w:kern w:val="0"/>
                <w:sz w:val="20"/>
                <w:szCs w:val="20"/>
                <w:lang w:eastAsia="zh-CN" w:bidi="ar"/>
              </w:rPr>
              <w:t>“</w:t>
            </w:r>
            <w:r>
              <w:rPr>
                <w:rFonts w:hint="eastAsia"/>
                <w:color w:val="000000"/>
                <w:kern w:val="0"/>
                <w:sz w:val="20"/>
                <w:szCs w:val="20"/>
                <w:lang w:bidi="ar"/>
              </w:rPr>
              <w:t>一 般</w:t>
            </w:r>
            <w:r>
              <w:rPr>
                <w:rFonts w:hint="eastAsia"/>
                <w:color w:val="000000"/>
                <w:kern w:val="0"/>
                <w:sz w:val="20"/>
                <w:szCs w:val="20"/>
                <w:lang w:eastAsia="zh-CN" w:bidi="ar"/>
              </w:rPr>
              <w:t>”</w:t>
            </w:r>
            <w:r>
              <w:rPr>
                <w:rFonts w:hint="eastAsia"/>
                <w:color w:val="000000"/>
                <w:kern w:val="0"/>
                <w:sz w:val="20"/>
                <w:szCs w:val="20"/>
                <w:lang w:bidi="ar"/>
              </w:rPr>
              <w:t>×0.6+</w:t>
            </w:r>
            <w:r>
              <w:rPr>
                <w:rFonts w:hint="eastAsia"/>
                <w:color w:val="000000"/>
                <w:kern w:val="0"/>
                <w:sz w:val="20"/>
                <w:szCs w:val="20"/>
                <w:lang w:eastAsia="zh-CN" w:bidi="ar"/>
              </w:rPr>
              <w:t>“</w:t>
            </w:r>
            <w:r>
              <w:rPr>
                <w:rFonts w:hint="eastAsia"/>
                <w:color w:val="000000"/>
                <w:kern w:val="0"/>
                <w:sz w:val="20"/>
                <w:szCs w:val="20"/>
                <w:lang w:bidi="ar"/>
              </w:rPr>
              <w:t>提高效果较小</w:t>
            </w:r>
            <w:r>
              <w:rPr>
                <w:rFonts w:hint="eastAsia"/>
                <w:color w:val="000000"/>
                <w:kern w:val="0"/>
                <w:sz w:val="20"/>
                <w:szCs w:val="20"/>
                <w:lang w:eastAsia="zh-CN" w:bidi="ar"/>
              </w:rPr>
              <w:t>”</w:t>
            </w:r>
            <w:r>
              <w:rPr>
                <w:rFonts w:hint="eastAsia"/>
                <w:color w:val="000000"/>
                <w:kern w:val="0"/>
                <w:sz w:val="20"/>
                <w:szCs w:val="20"/>
                <w:lang w:bidi="ar"/>
              </w:rPr>
              <w:t>×0.3+</w:t>
            </w:r>
            <w:r>
              <w:rPr>
                <w:rFonts w:hint="eastAsia"/>
                <w:color w:val="000000"/>
                <w:kern w:val="0"/>
                <w:sz w:val="20"/>
                <w:szCs w:val="20"/>
                <w:lang w:eastAsia="zh-CN" w:bidi="ar"/>
              </w:rPr>
              <w:t>“</w:t>
            </w:r>
            <w:r>
              <w:rPr>
                <w:rFonts w:hint="eastAsia"/>
                <w:color w:val="000000"/>
                <w:kern w:val="0"/>
                <w:sz w:val="20"/>
                <w:szCs w:val="20"/>
                <w:lang w:bidi="ar"/>
              </w:rPr>
              <w:t>无效果</w:t>
            </w:r>
            <w:r>
              <w:rPr>
                <w:rFonts w:hint="eastAsia"/>
                <w:color w:val="000000"/>
                <w:kern w:val="0"/>
                <w:sz w:val="20"/>
                <w:szCs w:val="20"/>
                <w:lang w:eastAsia="zh-CN" w:bidi="ar"/>
              </w:rPr>
              <w:t>”</w:t>
            </w:r>
            <w:r>
              <w:rPr>
                <w:rFonts w:hint="eastAsia"/>
                <w:color w:val="000000"/>
                <w:kern w:val="0"/>
                <w:sz w:val="20"/>
                <w:szCs w:val="20"/>
                <w:lang w:bidi="ar"/>
              </w:rPr>
              <w:t>×0）/总样本数×100%，实际完成值分为基本达成目标、部分实现目标、实现目标程度较低三个档次,并分别按照该指标对应分值区间 100%-80%(含)、80%-60%（含)、60%-0%合理确定分值。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①指标完成率在100%-80%之间，得满分；</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②指标完成率在80%-60%之间，得分=指标完成率×标杆分值；</w:t>
            </w:r>
          </w:p>
          <w:p>
            <w:pPr>
              <w:widowControl/>
              <w:adjustRightInd w:val="0"/>
              <w:snapToGrid w:val="0"/>
              <w:spacing w:line="240" w:lineRule="auto"/>
              <w:ind w:firstLine="0" w:firstLineChars="0"/>
              <w:jc w:val="left"/>
              <w:textAlignment w:val="center"/>
              <w:rPr>
                <w:rFonts w:hint="eastAsia"/>
                <w:color w:val="000000"/>
                <w:kern w:val="0"/>
                <w:sz w:val="20"/>
                <w:szCs w:val="20"/>
                <w:lang w:bidi="ar"/>
              </w:rPr>
            </w:pPr>
            <w:r>
              <w:rPr>
                <w:rFonts w:hint="eastAsia"/>
                <w:color w:val="000000"/>
                <w:kern w:val="0"/>
                <w:sz w:val="20"/>
                <w:szCs w:val="20"/>
                <w:lang w:bidi="ar"/>
              </w:rPr>
              <w:t>③指标完成率小于60%为不及格，不得分。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≥95%</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小计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35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100%</w:t>
            </w:r>
          </w:p>
        </w:tc>
      </w:tr>
      <w:tr>
        <w:tblPrEx>
          <w:tblCellMar>
            <w:top w:w="0" w:type="dxa"/>
            <w:left w:w="51" w:type="dxa"/>
            <w:bottom w:w="0" w:type="dxa"/>
            <w:right w:w="51" w:type="dxa"/>
          </w:tblCellMar>
        </w:tblPrEx>
        <w:trPr>
          <w:trHeight w:val="261" w:hRule="atLeast"/>
        </w:trPr>
        <w:tc>
          <w:tcPr>
            <w:tcW w:w="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合计</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hint="eastAsia" w:ascii="宋体" w:hAnsi="宋体" w:cs="宋体" w:eastAsiaTheme="minorEastAsia"/>
                <w:color w:val="000000"/>
                <w:kern w:val="0"/>
                <w:sz w:val="20"/>
                <w:szCs w:val="20"/>
                <w:lang w:eastAsia="zh-CN" w:bidi="ar"/>
              </w:rPr>
            </w:pPr>
            <w:r>
              <w:rPr>
                <w:rFonts w:hint="eastAsia"/>
                <w:color w:val="000000"/>
                <w:kern w:val="0"/>
                <w:sz w:val="20"/>
                <w:szCs w:val="20"/>
                <w:lang w:bidi="ar"/>
              </w:rPr>
              <w:t>100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92.52</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color w:val="000000"/>
                <w:kern w:val="0"/>
                <w:sz w:val="20"/>
                <w:szCs w:val="20"/>
                <w:lang w:bidi="ar"/>
              </w:rPr>
            </w:pPr>
            <w:r>
              <w:rPr>
                <w:rFonts w:hint="eastAsia"/>
                <w:color w:val="000000"/>
                <w:kern w:val="0"/>
                <w:sz w:val="20"/>
                <w:szCs w:val="20"/>
                <w:lang w:bidi="ar"/>
              </w:rPr>
              <w:t>92.52%</w:t>
            </w:r>
          </w:p>
        </w:tc>
      </w:tr>
    </w:tbl>
    <w:p>
      <w:pPr>
        <w:pageBreakBefore w:val="0"/>
        <w:kinsoku/>
        <w:wordWrap/>
        <w:overflowPunct/>
        <w:topLinePunct w:val="0"/>
        <w:autoSpaceDE/>
        <w:autoSpaceDN/>
        <w:bidi w:val="0"/>
        <w:snapToGrid w:val="0"/>
        <w:spacing w:before="0" w:after="0" w:line="360" w:lineRule="auto"/>
        <w:ind w:firstLine="420"/>
      </w:pPr>
    </w:p>
    <w:p>
      <w:pPr>
        <w:pageBreakBefore w:val="0"/>
        <w:kinsoku/>
        <w:wordWrap/>
        <w:overflowPunct/>
        <w:topLinePunct w:val="0"/>
        <w:autoSpaceDE/>
        <w:autoSpaceDN/>
        <w:bidi w:val="0"/>
        <w:snapToGrid w:val="0"/>
        <w:spacing w:before="0" w:after="0" w:line="360" w:lineRule="auto"/>
        <w:ind w:firstLine="420"/>
        <w:sectPr>
          <w:footerReference r:id="rId13" w:type="default"/>
          <w:pgSz w:w="16838" w:h="11906" w:orient="landscape"/>
          <w:pgMar w:top="1800" w:right="1440" w:bottom="1800" w:left="1440" w:header="851" w:footer="907" w:gutter="0"/>
          <w:cols w:space="425" w:num="1"/>
          <w:docGrid w:type="lines" w:linePitch="312" w:charSpace="0"/>
        </w:sectPr>
      </w:pPr>
    </w:p>
    <w:p>
      <w:pPr>
        <w:pStyle w:val="5"/>
        <w:pageBreakBefore w:val="0"/>
        <w:kinsoku/>
        <w:wordWrap/>
        <w:overflowPunct/>
        <w:topLinePunct w:val="0"/>
        <w:autoSpaceDE/>
        <w:autoSpaceDN/>
        <w:bidi w:val="0"/>
        <w:snapToGrid w:val="0"/>
        <w:spacing w:before="0" w:after="0" w:line="360" w:lineRule="auto"/>
        <w:ind w:firstLine="0" w:firstLineChars="0"/>
      </w:pPr>
      <w:bookmarkStart w:id="75" w:name="_Toc6006"/>
      <w:bookmarkStart w:id="76" w:name="_Toc25777"/>
      <w:bookmarkStart w:id="77" w:name="_Toc25426"/>
      <w:bookmarkStart w:id="78" w:name="_Toc12265"/>
      <w:r>
        <w:t>附件2：基础表</w:t>
      </w:r>
      <w:bookmarkEnd w:id="75"/>
      <w:bookmarkEnd w:id="76"/>
      <w:bookmarkEnd w:id="77"/>
      <w:bookmarkEnd w:id="78"/>
    </w:p>
    <w:p>
      <w:pPr>
        <w:spacing w:line="240" w:lineRule="auto"/>
        <w:ind w:left="0" w:leftChars="0" w:firstLine="0" w:firstLineChars="0"/>
        <w:jc w:val="center"/>
        <w:rPr>
          <w:rFonts w:hint="eastAsia" w:ascii="Times New Roman" w:hAnsi="Times New Roman" w:cs="Times New Roman"/>
          <w:b/>
          <w:bCs/>
          <w:color w:val="auto"/>
          <w:highlight w:val="none"/>
          <w:lang w:val="en-US" w:eastAsia="zh-CN"/>
        </w:rPr>
      </w:pPr>
      <w:r>
        <w:rPr>
          <w:rFonts w:hint="eastAsia" w:ascii="Times New Roman" w:hAnsi="Times New Roman" w:cs="Times New Roman"/>
          <w:b/>
          <w:bCs/>
          <w:color w:val="auto"/>
          <w:highlight w:val="none"/>
          <w:lang w:val="en-US" w:eastAsia="zh-CN"/>
        </w:rPr>
        <w:t>表1-1：</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项目费用</w:t>
      </w:r>
      <w:r>
        <w:rPr>
          <w:rFonts w:hint="eastAsia" w:ascii="Times New Roman" w:hAnsi="Times New Roman" w:cs="Times New Roman"/>
          <w:b/>
          <w:bCs/>
          <w:color w:val="auto"/>
          <w:highlight w:val="none"/>
          <w:lang w:val="en-US" w:eastAsia="zh-CN"/>
        </w:rPr>
        <w:t>支出</w:t>
      </w:r>
      <w:r>
        <w:rPr>
          <w:rFonts w:hint="eastAsia" w:cs="Times New Roman"/>
          <w:b/>
          <w:bCs/>
          <w:color w:val="auto"/>
          <w:highlight w:val="none"/>
          <w:lang w:val="en-US" w:eastAsia="zh-CN"/>
        </w:rPr>
        <w:t>汇总</w:t>
      </w:r>
      <w:r>
        <w:rPr>
          <w:rFonts w:hint="eastAsia" w:ascii="Times New Roman" w:hAnsi="Times New Roman" w:cs="Times New Roman"/>
          <w:b/>
          <w:bCs/>
          <w:color w:val="auto"/>
          <w:highlight w:val="none"/>
          <w:lang w:val="en-US" w:eastAsia="zh-CN"/>
        </w:rPr>
        <w:t>表</w:t>
      </w:r>
    </w:p>
    <w:p>
      <w:pPr>
        <w:pStyle w:val="2"/>
        <w:spacing w:line="240" w:lineRule="auto"/>
        <w:rPr>
          <w:color w:val="auto"/>
        </w:rPr>
      </w:pPr>
    </w:p>
    <w:tbl>
      <w:tblPr>
        <w:tblStyle w:val="18"/>
        <w:tblW w:w="8037"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85" w:type="dxa"/>
          <w:bottom w:w="0" w:type="dxa"/>
          <w:right w:w="85" w:type="dxa"/>
        </w:tblCellMar>
      </w:tblPr>
      <w:tblGrid>
        <w:gridCol w:w="664"/>
        <w:gridCol w:w="2442"/>
        <w:gridCol w:w="1014"/>
        <w:gridCol w:w="1112"/>
        <w:gridCol w:w="1200"/>
        <w:gridCol w:w="16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序号</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费用名称</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19"/>
                <w:szCs w:val="19"/>
                <w:highlight w:val="none"/>
                <w:u w:val="none"/>
              </w:rPr>
            </w:pPr>
            <w:r>
              <w:rPr>
                <w:rFonts w:hint="eastAsia" w:ascii="宋体" w:hAnsi="宋体" w:eastAsia="宋体" w:cs="宋体"/>
                <w:b/>
                <w:bCs/>
                <w:i w:val="0"/>
                <w:iCs w:val="0"/>
                <w:color w:val="auto"/>
                <w:kern w:val="0"/>
                <w:sz w:val="19"/>
                <w:szCs w:val="19"/>
                <w:highlight w:val="none"/>
                <w:u w:val="none"/>
                <w:lang w:val="en-US" w:eastAsia="zh-CN" w:bidi="ar"/>
              </w:rPr>
              <w:t>计划金额</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0"/>
                <w:sz w:val="19"/>
                <w:szCs w:val="19"/>
                <w:highlight w:val="none"/>
                <w:u w:val="none"/>
                <w:lang w:bidi="ar"/>
              </w:rPr>
            </w:pPr>
            <w:r>
              <w:rPr>
                <w:rFonts w:hint="eastAsia" w:ascii="宋体" w:hAnsi="宋体" w:eastAsia="宋体" w:cs="宋体"/>
                <w:b/>
                <w:bCs/>
                <w:i w:val="0"/>
                <w:iCs w:val="0"/>
                <w:color w:val="auto"/>
                <w:kern w:val="0"/>
                <w:sz w:val="19"/>
                <w:szCs w:val="19"/>
                <w:highlight w:val="none"/>
                <w:u w:val="none"/>
                <w:lang w:val="en-US" w:eastAsia="zh-CN" w:bidi="ar"/>
              </w:rPr>
              <w:t>实际支付</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kern w:val="0"/>
                <w:sz w:val="19"/>
                <w:szCs w:val="19"/>
                <w:highlight w:val="none"/>
                <w:u w:val="none"/>
                <w:lang w:bidi="ar"/>
              </w:rPr>
            </w:pPr>
            <w:r>
              <w:rPr>
                <w:rFonts w:hint="eastAsia" w:ascii="宋体" w:hAnsi="宋体" w:eastAsia="宋体" w:cs="宋体"/>
                <w:b/>
                <w:bCs/>
                <w:i w:val="0"/>
                <w:iCs w:val="0"/>
                <w:color w:val="auto"/>
                <w:kern w:val="0"/>
                <w:sz w:val="19"/>
                <w:szCs w:val="19"/>
                <w:highlight w:val="none"/>
                <w:u w:val="none"/>
                <w:lang w:val="en-US" w:eastAsia="zh-CN" w:bidi="ar"/>
              </w:rPr>
              <w:t>资金执行率</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劳务报酬</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333.65</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332.09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99.53%</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16"/>
                <w:szCs w:val="16"/>
                <w:highlight w:val="none"/>
                <w:u w:val="none"/>
                <w:lang w:val="en-US" w:eastAsia="zh-CN" w:bidi="ar"/>
              </w:rPr>
              <w:t>具体内容于表1-1-1：巴楚县自然资源局2024年管护人员劳务支出明细表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社会保障支出</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121.75</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121.14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99.5%</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69"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住房公积金支出</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11.72</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11.64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99.34%</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管护车辆费用</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3.42</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2.75</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80.44%</w:t>
            </w:r>
          </w:p>
        </w:tc>
        <w:tc>
          <w:tcPr>
            <w:tcW w:w="16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16"/>
                <w:szCs w:val="16"/>
                <w:highlight w:val="none"/>
                <w:u w:val="none"/>
                <w:lang w:val="en-US" w:eastAsia="zh-CN" w:bidi="ar"/>
              </w:rPr>
              <w:t>具体内容于表1-1-2：巴楚县自然资源局2024年日常管护支出明细表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管护站运行费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管护日常办公费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2.84</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2.84</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2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管护员培训费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0.82</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0.82</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2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管护辅助设施费用</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（宣传牌面更新印刷费）</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2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2024年森林督查调查费用</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605" w:type="dxa"/>
            <w:tcBorders>
              <w:top w:val="nil"/>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85" w:type="dxa"/>
            <w:bottom w:w="0" w:type="dxa"/>
            <w:right w:w="85" w:type="dxa"/>
          </w:tblCellMar>
        </w:tblPrEx>
        <w:trPr>
          <w:trHeight w:val="340" w:hRule="atLeast"/>
        </w:trPr>
        <w:tc>
          <w:tcPr>
            <w:tcW w:w="31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合计</w:t>
            </w:r>
          </w:p>
        </w:tc>
        <w:tc>
          <w:tcPr>
            <w:tcW w:w="101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495</w:t>
            </w:r>
          </w:p>
        </w:tc>
        <w:tc>
          <w:tcPr>
            <w:tcW w:w="11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482.08</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97.39%</w:t>
            </w:r>
          </w:p>
        </w:tc>
        <w:tc>
          <w:tcPr>
            <w:tcW w:w="16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0"/>
                <w:szCs w:val="20"/>
                <w:highlight w:val="none"/>
                <w:u w:val="none"/>
              </w:rPr>
            </w:pPr>
          </w:p>
        </w:tc>
      </w:tr>
    </w:tbl>
    <w:p>
      <w:pPr>
        <w:pageBreakBefore w:val="0"/>
        <w:kinsoku/>
        <w:wordWrap/>
        <w:overflowPunct/>
        <w:topLinePunct w:val="0"/>
        <w:autoSpaceDE/>
        <w:autoSpaceDN/>
        <w:bidi w:val="0"/>
        <w:snapToGrid w:val="0"/>
        <w:spacing w:before="0" w:after="0" w:line="360" w:lineRule="auto"/>
        <w:ind w:firstLine="420"/>
      </w:pPr>
    </w:p>
    <w:p>
      <w:pPr>
        <w:pageBreakBefore w:val="0"/>
        <w:kinsoku/>
        <w:wordWrap/>
        <w:overflowPunct/>
        <w:topLinePunct w:val="0"/>
        <w:autoSpaceDE/>
        <w:autoSpaceDN/>
        <w:bidi w:val="0"/>
        <w:snapToGrid w:val="0"/>
        <w:spacing w:before="0" w:after="0" w:line="360" w:lineRule="auto"/>
        <w:ind w:firstLine="420"/>
      </w:pPr>
    </w:p>
    <w:p>
      <w:pPr>
        <w:ind w:firstLine="422" w:firstLineChars="200"/>
        <w:jc w:val="center"/>
        <w:rPr>
          <w:rFonts w:hint="eastAsia" w:ascii="Times New Roman" w:hAnsi="Times New Roman" w:cs="Times New Roman"/>
          <w:b/>
          <w:bCs/>
          <w:color w:val="auto"/>
          <w:highlight w:val="none"/>
          <w:lang w:val="en-US" w:eastAsia="zh-CN"/>
        </w:rPr>
      </w:pPr>
      <w:r>
        <w:rPr>
          <w:rFonts w:hint="eastAsia" w:ascii="Times New Roman" w:hAnsi="Times New Roman" w:cs="Times New Roman"/>
          <w:b/>
          <w:bCs/>
          <w:color w:val="auto"/>
          <w:highlight w:val="none"/>
          <w:lang w:val="en-US" w:eastAsia="zh-CN"/>
        </w:rPr>
        <w:t>表1-</w:t>
      </w:r>
      <w:r>
        <w:rPr>
          <w:rFonts w:hint="eastAsia" w:cs="Times New Roman"/>
          <w:b/>
          <w:bCs/>
          <w:color w:val="auto"/>
          <w:highlight w:val="none"/>
          <w:lang w:val="en-US" w:eastAsia="zh-CN"/>
        </w:rPr>
        <w:t>2</w:t>
      </w:r>
      <w:r>
        <w:rPr>
          <w:rFonts w:hint="eastAsia" w:ascii="Times New Roman" w:hAnsi="Times New Roman" w:cs="Times New Roman"/>
          <w:b/>
          <w:bCs/>
          <w:color w:val="auto"/>
          <w:highlight w:val="none"/>
          <w:lang w:val="en-US" w:eastAsia="zh-CN"/>
        </w:rPr>
        <w:t>：</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项目费用</w:t>
      </w:r>
      <w:r>
        <w:rPr>
          <w:rFonts w:hint="eastAsia" w:ascii="Times New Roman" w:hAnsi="Times New Roman" w:cs="Times New Roman"/>
          <w:b/>
          <w:bCs/>
          <w:color w:val="auto"/>
          <w:highlight w:val="none"/>
          <w:lang w:val="en-US" w:eastAsia="zh-CN"/>
        </w:rPr>
        <w:t>支出明细表</w:t>
      </w:r>
    </w:p>
    <w:tbl>
      <w:tblPr>
        <w:tblStyle w:val="18"/>
        <w:tblW w:w="8293"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9"/>
        <w:gridCol w:w="392"/>
        <w:gridCol w:w="1683"/>
        <w:gridCol w:w="975"/>
        <w:gridCol w:w="625"/>
        <w:gridCol w:w="1086"/>
        <w:gridCol w:w="757"/>
        <w:gridCol w:w="622"/>
        <w:gridCol w:w="800"/>
        <w:gridCol w:w="8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序号</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月份</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费用类型</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计划发放人次</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退休人次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sz w:val="16"/>
                <w:szCs w:val="16"/>
                <w:highlight w:val="none"/>
                <w:u w:val="none"/>
              </w:rPr>
              <w:t>支付资金的请示金额</w:t>
            </w:r>
          </w:p>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sz w:val="16"/>
                <w:szCs w:val="16"/>
                <w:highlight w:val="none"/>
                <w:u w:val="none"/>
              </w:rPr>
              <w:t>（万元）</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实际发放人次</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退休人次</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执行数（万元）</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bidi="ar"/>
              </w:rPr>
            </w:pPr>
            <w:r>
              <w:rPr>
                <w:rFonts w:hint="eastAsia" w:ascii="宋体" w:hAnsi="宋体" w:eastAsia="宋体" w:cs="宋体"/>
                <w:i w:val="0"/>
                <w:iCs w:val="0"/>
                <w:color w:val="auto"/>
                <w:kern w:val="0"/>
                <w:sz w:val="16"/>
                <w:szCs w:val="16"/>
                <w:highlight w:val="none"/>
                <w:u w:val="none"/>
                <w:lang w:val="en-US" w:eastAsia="zh-CN" w:bidi="ar"/>
              </w:rPr>
              <w:t>1</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w:t>
            </w:r>
          </w:p>
        </w:tc>
        <w:tc>
          <w:tcPr>
            <w:tcW w:w="3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2</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90</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33.76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tabs>
                <w:tab w:val="center" w:pos="168"/>
              </w:tabs>
              <w:spacing w:line="240" w:lineRule="auto"/>
              <w:ind w:firstLine="0" w:firstLineChars="0"/>
              <w:jc w:val="center"/>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34.63</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4</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第一季度绩效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12.3</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9.1</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73.98%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5</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水电费</w:t>
            </w:r>
          </w:p>
        </w:tc>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13"/>
                <w:szCs w:val="13"/>
                <w:highlight w:val="none"/>
                <w:u w:val="none"/>
                <w:lang w:bidi="ar"/>
              </w:rPr>
            </w:pPr>
            <w:r>
              <w:rPr>
                <w:rFonts w:hint="eastAsia" w:ascii="宋体" w:hAnsi="宋体" w:eastAsia="宋体" w:cs="宋体"/>
                <w:i w:val="0"/>
                <w:iCs w:val="0"/>
                <w:color w:val="auto"/>
                <w:kern w:val="0"/>
                <w:sz w:val="13"/>
                <w:szCs w:val="13"/>
                <w:highlight w:val="none"/>
                <w:u w:val="none"/>
                <w:lang w:val="en-US" w:eastAsia="zh-CN" w:bidi="ar"/>
              </w:rPr>
              <w:t>10个管护站</w:t>
            </w:r>
          </w:p>
        </w:tc>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w:t>
            </w:r>
          </w:p>
        </w:tc>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13"/>
                <w:szCs w:val="13"/>
                <w:highlight w:val="none"/>
                <w:u w:val="none"/>
                <w:lang w:bidi="ar"/>
              </w:rPr>
            </w:pPr>
            <w:r>
              <w:rPr>
                <w:rFonts w:hint="eastAsia" w:ascii="宋体" w:hAnsi="宋体" w:eastAsia="宋体" w:cs="宋体"/>
                <w:i w:val="0"/>
                <w:iCs w:val="0"/>
                <w:color w:val="auto"/>
                <w:kern w:val="0"/>
                <w:sz w:val="13"/>
                <w:szCs w:val="13"/>
                <w:highlight w:val="none"/>
                <w:u w:val="none"/>
                <w:lang w:val="en-US" w:eastAsia="zh-CN" w:bidi="ar"/>
              </w:rPr>
              <w:t>10个管护站</w:t>
            </w:r>
          </w:p>
        </w:tc>
        <w:tc>
          <w:tcPr>
            <w:tcW w:w="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6</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4</w:t>
            </w:r>
          </w:p>
        </w:tc>
        <w:tc>
          <w:tcPr>
            <w:tcW w:w="1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w:t>
            </w:r>
          </w:p>
        </w:tc>
        <w:tc>
          <w:tcPr>
            <w:tcW w:w="89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7</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4月管护员工资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8</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报警器年度话费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3"/>
                <w:szCs w:val="13"/>
                <w:highlight w:val="none"/>
                <w:u w:val="none"/>
              </w:rPr>
            </w:pPr>
            <w:r>
              <w:rPr>
                <w:rFonts w:hint="eastAsia" w:ascii="宋体" w:hAnsi="宋体" w:eastAsia="宋体" w:cs="宋体"/>
                <w:i w:val="0"/>
                <w:iCs w:val="0"/>
                <w:color w:val="auto"/>
                <w:kern w:val="0"/>
                <w:sz w:val="13"/>
                <w:szCs w:val="13"/>
                <w:highlight w:val="none"/>
                <w:u w:val="none"/>
                <w:lang w:val="en-US" w:eastAsia="zh-CN" w:bidi="ar"/>
              </w:rPr>
              <w:t>2023年10个管护站话费</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3"/>
                <w:szCs w:val="13"/>
                <w:highlight w:val="none"/>
                <w:u w:val="none"/>
                <w:lang w:val="en-US" w:eastAsia="zh-CN" w:bidi="ar"/>
              </w:rPr>
              <w:t>2023年10个管护站话费</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0.48</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9</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auto"/>
                <w:sz w:val="16"/>
                <w:szCs w:val="16"/>
                <w:highlight w:val="none"/>
                <w:u w:val="none"/>
              </w:rPr>
            </w:pPr>
          </w:p>
        </w:tc>
        <w:tc>
          <w:tcPr>
            <w:tcW w:w="1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意外保险</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3.28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w:t>
            </w:r>
          </w:p>
        </w:tc>
        <w:tc>
          <w:tcPr>
            <w:tcW w:w="1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3.28</w:t>
            </w:r>
          </w:p>
        </w:tc>
        <w:tc>
          <w:tcPr>
            <w:tcW w:w="89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11</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5月管护员工资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34.36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12</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培训费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13</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34.61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34.93</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14</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第二季度绩效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10.11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9.79</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96.83%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15</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7</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7月管护员工资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34.77</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99.14%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16</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5"/>
                <w:szCs w:val="15"/>
                <w:highlight w:val="none"/>
                <w:u w:val="none"/>
                <w:lang w:val="en-US" w:eastAsia="zh-CN" w:bidi="ar"/>
              </w:rPr>
              <w:t>2024年宣传牌面更新印刷费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3"/>
                <w:szCs w:val="13"/>
                <w:highlight w:val="none"/>
                <w:u w:val="none"/>
                <w:lang w:val="en-US" w:eastAsia="zh-CN" w:bidi="ar"/>
              </w:rPr>
              <w:t>政采云采购</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17</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2024年各管护站灭火器需要年审</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0.5</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0.5</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18</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第二批培训费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82名</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0.41</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19</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34.47</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20</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取暖费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煤炭</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s原煤</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1"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21</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日常管护用印刷制品</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1.86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22</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42.25</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42.25</w:t>
            </w:r>
          </w:p>
        </w:tc>
        <w:tc>
          <w:tcPr>
            <w:tcW w:w="89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b w:val="0"/>
                <w:bCs w:val="0"/>
                <w:i w:val="0"/>
                <w:iCs w:val="0"/>
                <w:color w:val="auto"/>
                <w:sz w:val="16"/>
                <w:szCs w:val="16"/>
                <w:highlight w:val="none"/>
                <w:u w:val="none"/>
                <w:lang w:val="en-US" w:eastAsia="zh-CN"/>
              </w:rPr>
            </w:pPr>
            <w:r>
              <w:rPr>
                <w:rFonts w:hint="eastAsia" w:ascii="宋体" w:hAnsi="宋体" w:eastAsia="宋体" w:cs="宋体"/>
                <w:b w:val="0"/>
                <w:bCs w:val="0"/>
                <w:i w:val="0"/>
                <w:iCs w:val="0"/>
                <w:color w:val="auto"/>
                <w:sz w:val="16"/>
                <w:szCs w:val="16"/>
                <w:highlight w:val="none"/>
                <w:u w:val="none"/>
                <w:lang w:val="en-US" w:eastAsia="zh-CN"/>
              </w:rPr>
              <w:t>23</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b w:val="0"/>
                <w:bCs w:val="0"/>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第二季度绩效工资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9.69</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sz w:val="16"/>
                <w:szCs w:val="16"/>
                <w:highlight w:val="none"/>
                <w:u w:val="none"/>
              </w:rPr>
            </w:pPr>
            <w:r>
              <w:rPr>
                <w:rFonts w:hint="eastAsia" w:ascii="宋体" w:hAnsi="宋体" w:eastAsia="宋体" w:cs="宋体"/>
                <w:b w:val="0"/>
                <w:bCs w:val="0"/>
                <w:i w:val="0"/>
                <w:iCs w:val="0"/>
                <w:color w:val="auto"/>
                <w:kern w:val="0"/>
                <w:sz w:val="16"/>
                <w:szCs w:val="16"/>
                <w:highlight w:val="none"/>
                <w:u w:val="none"/>
                <w:lang w:val="en-US" w:eastAsia="zh-CN" w:bidi="ar"/>
              </w:rPr>
              <w:t>9.69</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b w:val="0"/>
                <w:bCs w:val="0"/>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24</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10</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35.66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82</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35.66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25</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森林消防等管护用车运行维护费</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3"/>
                <w:szCs w:val="13"/>
                <w:highlight w:val="none"/>
                <w:u w:val="none"/>
                <w:lang w:val="en-US" w:eastAsia="zh-CN" w:bidi="ar"/>
              </w:rPr>
              <w:t>公务用车保险</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2.8</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kern w:val="0"/>
                <w:sz w:val="13"/>
                <w:szCs w:val="13"/>
                <w:highlight w:val="none"/>
                <w:u w:val="none"/>
                <w:lang w:bidi="ar"/>
              </w:rPr>
            </w:pPr>
            <w:r>
              <w:rPr>
                <w:rFonts w:hint="eastAsia" w:ascii="宋体" w:hAnsi="宋体" w:eastAsia="宋体" w:cs="宋体"/>
                <w:i w:val="0"/>
                <w:iCs w:val="0"/>
                <w:color w:val="auto"/>
                <w:kern w:val="0"/>
                <w:sz w:val="13"/>
                <w:szCs w:val="13"/>
                <w:highlight w:val="none"/>
                <w:u w:val="none"/>
                <w:lang w:val="en-US" w:eastAsia="zh-CN" w:bidi="ar"/>
              </w:rPr>
              <w:t>2辆公务用车保险</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0.75</w:t>
            </w:r>
          </w:p>
        </w:tc>
        <w:tc>
          <w:tcPr>
            <w:tcW w:w="89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98.21%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26</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燃油费</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right"/>
              <w:rPr>
                <w:rFonts w:hint="eastAsia" w:ascii="宋体" w:hAnsi="宋体" w:eastAsia="宋体" w:cs="宋体"/>
                <w:i w:val="0"/>
                <w:iCs w:val="0"/>
                <w:color w:val="auto"/>
                <w:sz w:val="16"/>
                <w:szCs w:val="16"/>
                <w:highlight w:val="none"/>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燃油费</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w:t>
            </w:r>
          </w:p>
        </w:tc>
        <w:tc>
          <w:tcPr>
            <w:tcW w:w="894"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 w:hRule="atLeast"/>
        </w:trPr>
        <w:tc>
          <w:tcPr>
            <w:tcW w:w="459"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27</w:t>
            </w:r>
          </w:p>
        </w:tc>
        <w:tc>
          <w:tcPr>
            <w:tcW w:w="392"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11</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11月管护员工资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35.49</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35.49</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 w:hRule="atLeast"/>
        </w:trPr>
        <w:tc>
          <w:tcPr>
            <w:tcW w:w="459" w:type="dxa"/>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28</w:t>
            </w:r>
          </w:p>
        </w:tc>
        <w:tc>
          <w:tcPr>
            <w:tcW w:w="392" w:type="dxa"/>
            <w:vMerge w:val="continue"/>
            <w:tcBorders>
              <w:top w:val="single" w:color="000000" w:sz="4" w:space="0"/>
              <w:left w:val="single" w:color="000000" w:sz="4" w:space="0"/>
              <w:bottom w:val="nil"/>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2024年森林督查调查费用</w:t>
            </w:r>
          </w:p>
        </w:tc>
        <w:tc>
          <w:tcPr>
            <w:tcW w:w="9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10</w:t>
            </w:r>
          </w:p>
        </w:tc>
        <w:tc>
          <w:tcPr>
            <w:tcW w:w="75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auto"/>
                <w:sz w:val="16"/>
                <w:szCs w:val="16"/>
                <w:highlight w:val="none"/>
                <w:u w:val="none"/>
              </w:rPr>
            </w:pPr>
            <w:r>
              <w:rPr>
                <w:rFonts w:hint="eastAsia" w:ascii="宋体" w:hAnsi="宋体" w:eastAsia="宋体" w:cs="宋体"/>
                <w:b/>
                <w:bCs/>
                <w:i w:val="0"/>
                <w:iCs w:val="0"/>
                <w:color w:val="auto"/>
                <w:kern w:val="0"/>
                <w:sz w:val="16"/>
                <w:szCs w:val="16"/>
                <w:highlight w:val="none"/>
                <w:u w:val="none"/>
                <w:lang w:val="en-US" w:eastAsia="zh-CN" w:bidi="ar"/>
              </w:rPr>
              <w:t>-</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val="0"/>
                <w:bCs w:val="0"/>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29</w:t>
            </w:r>
          </w:p>
        </w:tc>
        <w:tc>
          <w:tcPr>
            <w:tcW w:w="3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12</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12月管护员工资</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35.26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81</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35.26</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5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i w:val="0"/>
                <w:iCs w:val="0"/>
                <w:color w:val="auto"/>
                <w:sz w:val="16"/>
                <w:szCs w:val="16"/>
                <w:highlight w:val="none"/>
                <w:u w:val="none"/>
                <w:lang w:val="en-US" w:eastAsia="zh-CN"/>
              </w:rPr>
            </w:pPr>
            <w:r>
              <w:rPr>
                <w:rFonts w:hint="eastAsia" w:ascii="宋体" w:hAnsi="宋体" w:eastAsia="宋体" w:cs="宋体"/>
                <w:i w:val="0"/>
                <w:iCs w:val="0"/>
                <w:color w:val="auto"/>
                <w:sz w:val="16"/>
                <w:szCs w:val="16"/>
                <w:highlight w:val="none"/>
                <w:u w:val="none"/>
                <w:lang w:val="en-US" w:eastAsia="zh-CN"/>
              </w:rPr>
              <w:t>30</w:t>
            </w:r>
          </w:p>
        </w:tc>
        <w:tc>
          <w:tcPr>
            <w:tcW w:w="3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left"/>
              <w:rPr>
                <w:rFonts w:hint="eastAsia" w:ascii="宋体" w:hAnsi="宋体" w:eastAsia="宋体" w:cs="宋体"/>
                <w:i w:val="0"/>
                <w:iCs w:val="0"/>
                <w:color w:val="auto"/>
                <w:sz w:val="16"/>
                <w:szCs w:val="16"/>
                <w:highlight w:val="none"/>
                <w:u w:val="none"/>
              </w:rPr>
            </w:pP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第四季度绩效</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9.72</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16"/>
                <w:szCs w:val="16"/>
                <w:highlight w:val="none"/>
                <w:u w:val="none"/>
              </w:rPr>
            </w:pPr>
            <w:r>
              <w:rPr>
                <w:rFonts w:hint="eastAsia" w:ascii="宋体" w:hAnsi="宋体" w:eastAsia="宋体" w:cs="宋体"/>
                <w:i w:val="0"/>
                <w:iCs w:val="0"/>
                <w:color w:val="auto"/>
                <w:kern w:val="0"/>
                <w:sz w:val="16"/>
                <w:szCs w:val="16"/>
                <w:highlight w:val="none"/>
                <w:u w:val="none"/>
                <w:lang w:val="en-US" w:eastAsia="zh-CN" w:bidi="ar"/>
              </w:rPr>
              <w:t>9.72</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kern w:val="0"/>
                <w:sz w:val="16"/>
                <w:szCs w:val="16"/>
                <w:highlight w:val="none"/>
                <w:u w:val="none"/>
                <w:lang w:val="en-US" w:eastAsia="zh-CN" w:bidi="ar"/>
              </w:rPr>
            </w:pPr>
            <w:r>
              <w:rPr>
                <w:rFonts w:hint="eastAsia" w:ascii="宋体" w:hAnsi="宋体" w:eastAsia="宋体" w:cs="宋体"/>
                <w:i w:val="0"/>
                <w:iCs w:val="0"/>
                <w:color w:val="auto"/>
                <w:kern w:val="0"/>
                <w:sz w:val="16"/>
                <w:szCs w:val="16"/>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41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合计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496.26</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b/>
                <w:bCs/>
                <w:i w:val="0"/>
                <w:iCs w:val="0"/>
                <w:color w:val="auto"/>
                <w:sz w:val="18"/>
                <w:szCs w:val="18"/>
                <w:highlight w:val="none"/>
                <w:u w:val="none"/>
              </w:rPr>
            </w:pPr>
          </w:p>
        </w:tc>
        <w:tc>
          <w:tcPr>
            <w:tcW w:w="6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b/>
                <w:bCs/>
                <w:i w:val="0"/>
                <w:iCs w:val="0"/>
                <w:color w:val="auto"/>
                <w:sz w:val="18"/>
                <w:szCs w:val="18"/>
                <w:highlight w:val="none"/>
                <w:u w:val="none"/>
              </w:rPr>
            </w:pP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18"/>
                <w:szCs w:val="18"/>
                <w:highlight w:val="none"/>
                <w:u w:val="none"/>
              </w:rPr>
            </w:pPr>
            <w:r>
              <w:rPr>
                <w:rFonts w:hint="eastAsia" w:ascii="宋体" w:hAnsi="宋体" w:eastAsia="宋体" w:cs="宋体"/>
                <w:b/>
                <w:bCs/>
                <w:i w:val="0"/>
                <w:iCs w:val="0"/>
                <w:color w:val="auto"/>
                <w:kern w:val="0"/>
                <w:sz w:val="18"/>
                <w:szCs w:val="18"/>
                <w:highlight w:val="none"/>
                <w:u w:val="none"/>
                <w:lang w:val="en-US" w:eastAsia="zh-CN" w:bidi="ar"/>
              </w:rPr>
              <w:t>482.08</w:t>
            </w:r>
          </w:p>
        </w:tc>
        <w:tc>
          <w:tcPr>
            <w:tcW w:w="8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kern w:val="0"/>
                <w:sz w:val="18"/>
                <w:szCs w:val="18"/>
                <w:highlight w:val="none"/>
                <w:u w:val="none"/>
                <w:lang w:val="en-US" w:eastAsia="zh-CN" w:bidi="ar"/>
              </w:rPr>
            </w:pPr>
            <w:r>
              <w:rPr>
                <w:rFonts w:hint="eastAsia" w:ascii="宋体" w:hAnsi="宋体" w:eastAsia="宋体" w:cs="宋体"/>
                <w:b/>
                <w:bCs/>
                <w:i w:val="0"/>
                <w:iCs w:val="0"/>
                <w:color w:val="auto"/>
                <w:kern w:val="0"/>
                <w:sz w:val="18"/>
                <w:szCs w:val="18"/>
                <w:highlight w:val="none"/>
                <w:u w:val="none"/>
                <w:lang w:val="en-US" w:eastAsia="zh-CN" w:bidi="ar"/>
              </w:rPr>
              <w:t>97.14%</w:t>
            </w:r>
          </w:p>
        </w:tc>
      </w:tr>
    </w:tbl>
    <w:p>
      <w:pPr>
        <w:pStyle w:val="2"/>
        <w:ind w:firstLine="0" w:firstLineChars="0"/>
        <w:rPr>
          <w:rFonts w:hint="default"/>
          <w:color w:val="auto"/>
          <w:highlight w:val="none"/>
          <w:lang w:val="en-US" w:eastAsia="zh-CN"/>
        </w:rPr>
      </w:pPr>
    </w:p>
    <w:p>
      <w:pPr>
        <w:pageBreakBefore w:val="0"/>
        <w:kinsoku/>
        <w:wordWrap/>
        <w:overflowPunct/>
        <w:topLinePunct w:val="0"/>
        <w:autoSpaceDE/>
        <w:autoSpaceDN/>
        <w:bidi w:val="0"/>
        <w:snapToGrid w:val="0"/>
        <w:spacing w:before="0" w:after="0" w:line="360" w:lineRule="auto"/>
        <w:ind w:firstLine="420"/>
      </w:pPr>
    </w:p>
    <w:p>
      <w:pPr>
        <w:pageBreakBefore w:val="0"/>
        <w:kinsoku/>
        <w:wordWrap/>
        <w:overflowPunct/>
        <w:topLinePunct w:val="0"/>
        <w:autoSpaceDE/>
        <w:autoSpaceDN/>
        <w:bidi w:val="0"/>
        <w:snapToGrid w:val="0"/>
        <w:spacing w:before="0" w:after="0" w:line="360" w:lineRule="auto"/>
        <w:ind w:firstLine="420"/>
      </w:pPr>
    </w:p>
    <w:p>
      <w:pPr>
        <w:pStyle w:val="2"/>
        <w:jc w:val="center"/>
        <w:rPr>
          <w:rFonts w:hint="eastAsia"/>
          <w:color w:val="auto"/>
          <w:highlight w:val="none"/>
          <w:lang w:val="en-US" w:eastAsia="zh-CN"/>
        </w:rPr>
      </w:pPr>
      <w:r>
        <w:rPr>
          <w:rFonts w:hint="eastAsia" w:ascii="Times New Roman" w:hAnsi="Times New Roman" w:cs="Times New Roman"/>
          <w:b/>
          <w:bCs/>
          <w:color w:val="auto"/>
          <w:highlight w:val="none"/>
          <w:lang w:val="en-US" w:eastAsia="zh-CN"/>
        </w:rPr>
        <w:t>表1-1-1：</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管护人员劳务</w:t>
      </w:r>
      <w:r>
        <w:rPr>
          <w:rFonts w:hint="eastAsia" w:ascii="Times New Roman" w:hAnsi="Times New Roman" w:cs="Times New Roman"/>
          <w:b/>
          <w:bCs/>
          <w:color w:val="auto"/>
          <w:highlight w:val="none"/>
          <w:lang w:val="en-US" w:eastAsia="zh-CN"/>
        </w:rPr>
        <w:t>支出明细表</w:t>
      </w:r>
    </w:p>
    <w:tbl>
      <w:tblPr>
        <w:tblStyle w:val="18"/>
        <w:tblW w:w="8329"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8"/>
        <w:gridCol w:w="2615"/>
        <w:gridCol w:w="2291"/>
        <w:gridCol w:w="1250"/>
        <w:gridCol w:w="14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费用名称</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计划金额</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实际支付</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资金执行率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劳务报酬</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333.65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right"/>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lang w:val="en-US" w:eastAsia="zh-CN"/>
              </w:rPr>
              <w:t>332.28</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lang w:val="en-US" w:eastAsia="zh-CN"/>
              </w:rPr>
              <w:t>99.59%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7"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管护员基本报酬</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198.94</w:t>
            </w:r>
          </w:p>
        </w:tc>
        <w:tc>
          <w:tcPr>
            <w:tcW w:w="125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293.98</w:t>
            </w:r>
          </w:p>
        </w:tc>
        <w:tc>
          <w:tcPr>
            <w:tcW w:w="147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99.89%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监管员基本报酬</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95.35</w:t>
            </w:r>
          </w:p>
        </w:tc>
        <w:tc>
          <w:tcPr>
            <w:tcW w:w="1250"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绩效工资</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39.36</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38.3</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社会保障支出</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121.75</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right"/>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rPr>
              <w:t>1</w:t>
            </w:r>
            <w:r>
              <w:rPr>
                <w:rFonts w:hint="eastAsia" w:ascii="宋体" w:hAnsi="宋体" w:eastAsia="宋体" w:cs="宋体"/>
                <w:b/>
                <w:bCs/>
                <w:i w:val="0"/>
                <w:iCs w:val="0"/>
                <w:color w:val="auto"/>
                <w:sz w:val="22"/>
                <w:szCs w:val="22"/>
                <w:highlight w:val="none"/>
                <w:u w:val="none"/>
                <w:lang w:val="en-US" w:eastAsia="zh-CN"/>
              </w:rPr>
              <w:t>21.14</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b/>
                <w:bCs/>
                <w:i w:val="0"/>
                <w:iCs w:val="0"/>
                <w:color w:val="auto"/>
                <w:sz w:val="22"/>
                <w:szCs w:val="22"/>
                <w:highlight w:val="none"/>
                <w:u w:val="none"/>
                <w:lang w:val="en-US" w:eastAsia="zh-CN"/>
              </w:rPr>
            </w:pPr>
            <w:r>
              <w:rPr>
                <w:rFonts w:hint="eastAsia" w:ascii="宋体" w:hAnsi="宋体" w:eastAsia="宋体" w:cs="宋体"/>
                <w:b/>
                <w:bCs/>
                <w:i w:val="0"/>
                <w:iCs w:val="0"/>
                <w:color w:val="auto"/>
                <w:sz w:val="22"/>
                <w:szCs w:val="22"/>
                <w:highlight w:val="none"/>
                <w:u w:val="none"/>
                <w:lang w:val="en-US" w:eastAsia="zh-CN"/>
              </w:rPr>
              <w:t>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基本养老保险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78.72</w:t>
            </w:r>
          </w:p>
        </w:tc>
        <w:tc>
          <w:tcPr>
            <w:tcW w:w="1250"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117.86</w:t>
            </w:r>
          </w:p>
        </w:tc>
        <w:tc>
          <w:tcPr>
            <w:tcW w:w="147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96.8%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失业保险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2.46</w:t>
            </w:r>
          </w:p>
        </w:tc>
        <w:tc>
          <w:tcPr>
            <w:tcW w:w="1250" w:type="dxa"/>
            <w:vMerge w:val="continue"/>
            <w:tcBorders>
              <w:left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医疗保险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34.34</w:t>
            </w:r>
          </w:p>
        </w:tc>
        <w:tc>
          <w:tcPr>
            <w:tcW w:w="1250" w:type="dxa"/>
            <w:vMerge w:val="continue"/>
            <w:tcBorders>
              <w:left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工伤保险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1.97</w:t>
            </w:r>
          </w:p>
        </w:tc>
        <w:tc>
          <w:tcPr>
            <w:tcW w:w="1250" w:type="dxa"/>
            <w:vMerge w:val="continue"/>
            <w:tcBorders>
              <w:left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大额医疗保险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0.98</w:t>
            </w:r>
          </w:p>
        </w:tc>
        <w:tc>
          <w:tcPr>
            <w:tcW w:w="1250" w:type="dxa"/>
            <w:vMerge w:val="continue"/>
            <w:tcBorders>
              <w:left w:val="single" w:color="000000" w:sz="4" w:space="0"/>
              <w:bottom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p>
        </w:tc>
        <w:tc>
          <w:tcPr>
            <w:tcW w:w="1475" w:type="dxa"/>
            <w:vMerge w:val="continue"/>
            <w:tcBorders>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eastAsia" w:ascii="宋体" w:hAnsi="宋体" w:eastAsia="宋体" w:cs="宋体"/>
                <w:b/>
                <w:bCs/>
                <w:i w:val="0"/>
                <w:iCs w:val="0"/>
                <w:color w:val="auto"/>
                <w:sz w:val="22"/>
                <w:szCs w:val="22"/>
                <w:highlight w:val="none"/>
                <w:u w:val="none"/>
              </w:rPr>
            </w:pP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人身意外伤害保险</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3.28</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righ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3.28</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jc w:val="center"/>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3</w:t>
            </w:r>
          </w:p>
        </w:tc>
        <w:tc>
          <w:tcPr>
            <w:tcW w:w="26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住房公积金支出</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11.72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b/>
                <w:bCs/>
                <w:i w:val="0"/>
                <w:iCs w:val="0"/>
                <w:color w:val="auto"/>
                <w:sz w:val="22"/>
                <w:szCs w:val="22"/>
                <w:highlight w:val="none"/>
                <w:u w:val="none"/>
                <w:lang w:val="en-US"/>
              </w:rPr>
            </w:pPr>
            <w:r>
              <w:rPr>
                <w:rFonts w:hint="eastAsia" w:ascii="宋体" w:hAnsi="宋体" w:eastAsia="宋体" w:cs="宋体"/>
                <w:b/>
                <w:bCs/>
                <w:i w:val="0"/>
                <w:iCs w:val="0"/>
                <w:color w:val="auto"/>
                <w:kern w:val="0"/>
                <w:sz w:val="22"/>
                <w:szCs w:val="22"/>
                <w:highlight w:val="none"/>
                <w:u w:val="none"/>
                <w:lang w:val="en-US" w:eastAsia="zh-CN" w:bidi="ar"/>
              </w:rPr>
              <w:t>11.64</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99.34%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33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合计</w:t>
            </w:r>
          </w:p>
        </w:tc>
        <w:tc>
          <w:tcPr>
            <w:tcW w:w="22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467.12</w:t>
            </w:r>
          </w:p>
        </w:tc>
        <w:tc>
          <w:tcPr>
            <w:tcW w:w="1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宋体" w:hAnsi="宋体" w:eastAsia="宋体" w:cs="宋体"/>
                <w:b/>
                <w:bCs/>
                <w:i w:val="0"/>
                <w:iCs w:val="0"/>
                <w:color w:val="auto"/>
                <w:sz w:val="22"/>
                <w:szCs w:val="22"/>
                <w:highlight w:val="none"/>
                <w:u w:val="none"/>
                <w:lang w:val="en-US"/>
              </w:rPr>
            </w:pPr>
            <w:r>
              <w:rPr>
                <w:rFonts w:hint="eastAsia" w:ascii="宋体" w:hAnsi="宋体" w:eastAsia="宋体" w:cs="宋体"/>
                <w:b/>
                <w:bCs/>
                <w:i w:val="0"/>
                <w:iCs w:val="0"/>
                <w:color w:val="auto"/>
                <w:kern w:val="0"/>
                <w:sz w:val="22"/>
                <w:szCs w:val="22"/>
                <w:highlight w:val="none"/>
                <w:u w:val="none"/>
                <w:lang w:val="en-US" w:eastAsia="zh-CN" w:bidi="ar"/>
              </w:rPr>
              <w:t>465.06</w:t>
            </w:r>
          </w:p>
        </w:tc>
        <w:tc>
          <w:tcPr>
            <w:tcW w:w="14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99.56%</w:t>
            </w:r>
          </w:p>
        </w:tc>
      </w:tr>
    </w:tbl>
    <w:p>
      <w:pPr>
        <w:spacing w:line="360" w:lineRule="auto"/>
        <w:ind w:firstLine="420"/>
        <w:rPr>
          <w:rFonts w:hint="eastAsia"/>
          <w:color w:val="auto"/>
        </w:rPr>
      </w:pPr>
    </w:p>
    <w:p>
      <w:pPr>
        <w:jc w:val="center"/>
        <w:rPr>
          <w:rFonts w:hint="eastAsia"/>
          <w:color w:val="auto"/>
          <w:highlight w:val="none"/>
          <w:lang w:val="en-US" w:eastAsia="zh-CN"/>
        </w:rPr>
      </w:pPr>
      <w:r>
        <w:rPr>
          <w:rFonts w:hint="eastAsia" w:ascii="Times New Roman" w:hAnsi="Times New Roman" w:cs="Times New Roman"/>
          <w:b/>
          <w:bCs/>
          <w:color w:val="auto"/>
          <w:highlight w:val="none"/>
          <w:lang w:val="en-US" w:eastAsia="zh-CN"/>
        </w:rPr>
        <w:t>表1-1-</w:t>
      </w:r>
      <w:r>
        <w:rPr>
          <w:rFonts w:hint="eastAsia" w:cs="Times New Roman"/>
          <w:b/>
          <w:bCs/>
          <w:color w:val="auto"/>
          <w:highlight w:val="none"/>
          <w:lang w:val="en-US" w:eastAsia="zh-CN"/>
        </w:rPr>
        <w:t>2</w:t>
      </w:r>
      <w:r>
        <w:rPr>
          <w:rFonts w:hint="eastAsia" w:ascii="Times New Roman" w:hAnsi="Times New Roman" w:cs="Times New Roman"/>
          <w:b/>
          <w:bCs/>
          <w:color w:val="auto"/>
          <w:highlight w:val="none"/>
          <w:lang w:val="en-US" w:eastAsia="zh-CN"/>
        </w:rPr>
        <w:t>：</w:t>
      </w:r>
      <w:r>
        <w:rPr>
          <w:rFonts w:hint="eastAsia" w:cs="Times New Roman"/>
          <w:b/>
          <w:bCs/>
          <w:color w:val="auto"/>
          <w:highlight w:val="none"/>
          <w:lang w:val="en-US" w:eastAsia="zh-CN"/>
        </w:rPr>
        <w:t>巴楚县自然资源局2024</w:t>
      </w:r>
      <w:r>
        <w:rPr>
          <w:rFonts w:hint="eastAsia" w:ascii="Times New Roman" w:hAnsi="Times New Roman" w:cs="Times New Roman"/>
          <w:b/>
          <w:bCs/>
          <w:color w:val="auto"/>
          <w:highlight w:val="none"/>
          <w:lang w:val="en-US" w:eastAsia="zh-CN"/>
        </w:rPr>
        <w:t>年</w:t>
      </w:r>
      <w:r>
        <w:rPr>
          <w:rFonts w:hint="eastAsia" w:cs="Times New Roman"/>
          <w:b/>
          <w:bCs/>
          <w:color w:val="auto"/>
          <w:highlight w:val="none"/>
          <w:lang w:val="en-US" w:eastAsia="zh-CN"/>
        </w:rPr>
        <w:t>日常管护</w:t>
      </w:r>
      <w:r>
        <w:rPr>
          <w:rFonts w:hint="eastAsia" w:ascii="Times New Roman" w:hAnsi="Times New Roman" w:cs="Times New Roman"/>
          <w:b/>
          <w:bCs/>
          <w:color w:val="auto"/>
          <w:highlight w:val="none"/>
          <w:lang w:val="en-US" w:eastAsia="zh-CN"/>
        </w:rPr>
        <w:t>支出明细表</w:t>
      </w:r>
    </w:p>
    <w:tbl>
      <w:tblPr>
        <w:tblStyle w:val="18"/>
        <w:tblW w:w="8246"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7"/>
        <w:gridCol w:w="3697"/>
        <w:gridCol w:w="1189"/>
        <w:gridCol w:w="1178"/>
        <w:gridCol w:w="17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费用名称</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计划金额（万元）</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实际支出（万元）</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资金执行率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管护车辆费用</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3.42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2.75</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80.44%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摩托车年审及保险支出</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0.62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right"/>
              <w:rPr>
                <w:rFonts w:hint="default"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0</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车辆保险、维修保养支出</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0.75</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车辆燃油支出</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管护站运行费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水费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7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电费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取暖费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管护日常办公费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2.84</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2.84</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印刷各项工作制度等</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1.86</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1.86</w:t>
            </w:r>
          </w:p>
        </w:tc>
        <w:tc>
          <w:tcPr>
            <w:tcW w:w="171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各管护站灭火器需要年审</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0.5</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0.5</w:t>
            </w:r>
          </w:p>
        </w:tc>
        <w:tc>
          <w:tcPr>
            <w:tcW w:w="1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缴纳一键报警器年度话费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0.48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0.48</w:t>
            </w:r>
          </w:p>
        </w:tc>
        <w:tc>
          <w:tcPr>
            <w:tcW w:w="171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eastAsia" w:ascii="宋体" w:hAnsi="宋体" w:eastAsia="宋体" w:cs="宋体"/>
                <w:i w:val="0"/>
                <w:iCs w:val="0"/>
                <w:color w:val="auto"/>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管护员培训费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0.82</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0.82</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3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宣传牌面更新印刷费</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1.8</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16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合计</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17.88</w:t>
            </w:r>
          </w:p>
        </w:tc>
        <w:tc>
          <w:tcPr>
            <w:tcW w:w="117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right"/>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17.21</w:t>
            </w:r>
          </w:p>
        </w:tc>
        <w:tc>
          <w:tcPr>
            <w:tcW w:w="17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96.26%</w:t>
            </w:r>
          </w:p>
        </w:tc>
      </w:tr>
    </w:tbl>
    <w:p>
      <w:pPr>
        <w:pageBreakBefore w:val="0"/>
        <w:kinsoku/>
        <w:wordWrap/>
        <w:overflowPunct/>
        <w:topLinePunct w:val="0"/>
        <w:autoSpaceDE/>
        <w:autoSpaceDN/>
        <w:bidi w:val="0"/>
        <w:snapToGrid w:val="0"/>
        <w:spacing w:before="0" w:after="0" w:line="360" w:lineRule="auto"/>
        <w:ind w:firstLine="420"/>
      </w:pPr>
      <w:r>
        <w:br w:type="page"/>
      </w:r>
    </w:p>
    <w:p>
      <w:pPr>
        <w:pStyle w:val="5"/>
        <w:pageBreakBefore w:val="0"/>
        <w:kinsoku/>
        <w:wordWrap/>
        <w:overflowPunct/>
        <w:topLinePunct w:val="0"/>
        <w:autoSpaceDE/>
        <w:autoSpaceDN/>
        <w:bidi w:val="0"/>
        <w:snapToGrid w:val="0"/>
        <w:spacing w:before="0" w:after="0" w:line="360" w:lineRule="auto"/>
        <w:ind w:firstLine="0" w:firstLineChars="0"/>
      </w:pPr>
      <w:bookmarkStart w:id="79" w:name="_Toc29169"/>
      <w:bookmarkStart w:id="80" w:name="_Toc16301"/>
      <w:r>
        <w:t>附件3：问卷调查分析报告</w:t>
      </w:r>
      <w:bookmarkEnd w:id="79"/>
      <w:bookmarkEnd w:id="80"/>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本次绩效评价的对象为</w:t>
      </w:r>
      <w:r>
        <w:rPr>
          <w:rFonts w:hint="eastAsia" w:cs="Times New Roman"/>
          <w:color w:val="auto"/>
          <w:highlight w:val="none"/>
          <w:lang w:eastAsia="zh-CN"/>
        </w:rPr>
        <w:t>2024年中央林业草原生态保护恢复资金（森林保护修复）项目</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为客观评价</w:t>
      </w:r>
      <w:r>
        <w:rPr>
          <w:rFonts w:hint="default" w:ascii="Times New Roman" w:hAnsi="Times New Roman" w:cs="Times New Roman"/>
          <w:color w:val="auto"/>
          <w:highlight w:val="none"/>
          <w:lang w:val="en-US" w:eastAsia="zh-CN"/>
        </w:rPr>
        <w:t>该</w:t>
      </w:r>
      <w:r>
        <w:rPr>
          <w:rFonts w:hint="default" w:ascii="Times New Roman" w:hAnsi="Times New Roman" w:cs="Times New Roman"/>
          <w:color w:val="auto"/>
          <w:highlight w:val="none"/>
        </w:rPr>
        <w:t>项目的社会效果，</w:t>
      </w:r>
      <w:r>
        <w:rPr>
          <w:rFonts w:hint="default" w:ascii="Times New Roman" w:hAnsi="Times New Roman" w:cs="Times New Roman"/>
          <w:color w:val="auto"/>
          <w:highlight w:val="none"/>
          <w:lang w:val="en-US" w:eastAsia="zh-CN"/>
        </w:rPr>
        <w:t>绩效评价小组</w:t>
      </w:r>
      <w:r>
        <w:rPr>
          <w:rFonts w:hint="default" w:ascii="Times New Roman" w:hAnsi="Times New Roman" w:cs="Times New Roman"/>
          <w:color w:val="auto"/>
          <w:highlight w:val="none"/>
        </w:rPr>
        <w:t>依据公共支出绩效评价</w:t>
      </w:r>
      <w:r>
        <w:rPr>
          <w:rFonts w:hint="eastAsia" w:cs="Times New Roman"/>
          <w:color w:val="auto"/>
          <w:highlight w:val="none"/>
          <w:lang w:eastAsia="zh-CN"/>
        </w:rPr>
        <w:t>“</w:t>
      </w:r>
      <w:r>
        <w:rPr>
          <w:rFonts w:hint="default" w:ascii="Times New Roman" w:hAnsi="Times New Roman" w:cs="Times New Roman"/>
          <w:color w:val="auto"/>
          <w:highlight w:val="none"/>
        </w:rPr>
        <w:t>为顾客服务</w:t>
      </w:r>
      <w:r>
        <w:rPr>
          <w:rFonts w:hint="eastAsia" w:cs="Times New Roman"/>
          <w:color w:val="auto"/>
          <w:highlight w:val="none"/>
          <w:lang w:eastAsia="zh-CN"/>
        </w:rPr>
        <w:t>”</w:t>
      </w:r>
      <w:r>
        <w:rPr>
          <w:rFonts w:hint="default" w:ascii="Times New Roman" w:hAnsi="Times New Roman" w:cs="Times New Roman"/>
          <w:color w:val="auto"/>
          <w:highlight w:val="none"/>
        </w:rPr>
        <w:t>原理，引入</w:t>
      </w:r>
      <w:r>
        <w:rPr>
          <w:rFonts w:hint="eastAsia" w:cs="Times New Roman"/>
          <w:color w:val="auto"/>
          <w:highlight w:val="none"/>
          <w:lang w:eastAsia="zh-CN"/>
        </w:rPr>
        <w:t>“</w:t>
      </w:r>
      <w:r>
        <w:rPr>
          <w:rFonts w:hint="default" w:ascii="Times New Roman" w:hAnsi="Times New Roman" w:cs="Times New Roman"/>
          <w:color w:val="auto"/>
          <w:highlight w:val="none"/>
          <w:lang w:val="en-US" w:eastAsia="zh-CN"/>
        </w:rPr>
        <w:t>提高生态管护员森林资源管护水平</w:t>
      </w:r>
      <w:r>
        <w:rPr>
          <w:rFonts w:hint="eastAsia" w:cs="Times New Roman"/>
          <w:color w:val="auto"/>
          <w:highlight w:val="none"/>
          <w:lang w:eastAsia="zh-CN"/>
        </w:rPr>
        <w:t>”</w:t>
      </w:r>
      <w:r>
        <w:rPr>
          <w:rFonts w:hint="default" w:ascii="Times New Roman" w:hAnsi="Times New Roman" w:cs="Times New Roman"/>
          <w:color w:val="auto"/>
          <w:highlight w:val="none"/>
          <w:lang w:eastAsia="zh-CN"/>
        </w:rPr>
        <w:t>、</w:t>
      </w:r>
      <w:r>
        <w:rPr>
          <w:rFonts w:hint="eastAsia" w:cs="Times New Roman"/>
          <w:color w:val="auto"/>
          <w:highlight w:val="none"/>
          <w:lang w:eastAsia="zh-CN"/>
        </w:rPr>
        <w:t>“</w:t>
      </w:r>
      <w:r>
        <w:rPr>
          <w:rFonts w:hint="default" w:ascii="Times New Roman" w:hAnsi="Times New Roman" w:cs="Times New Roman"/>
          <w:color w:val="auto"/>
          <w:highlight w:val="none"/>
          <w:lang w:val="en-US" w:eastAsia="zh-CN"/>
        </w:rPr>
        <w:t>持续保障生态管护员基本生活需求</w:t>
      </w:r>
      <w:r>
        <w:rPr>
          <w:rFonts w:hint="eastAsia" w:cs="Times New Roman"/>
          <w:color w:val="auto"/>
          <w:highlight w:val="none"/>
          <w:lang w:eastAsia="zh-CN"/>
        </w:rPr>
        <w:t>”“受益生态护林员满意度”</w:t>
      </w:r>
      <w:r>
        <w:rPr>
          <w:rFonts w:hint="default" w:ascii="Times New Roman" w:hAnsi="Times New Roman" w:cs="Times New Roman"/>
          <w:color w:val="auto"/>
          <w:highlight w:val="none"/>
          <w:lang w:val="en-US" w:eastAsia="zh-CN"/>
        </w:rPr>
        <w:t>等效益</w:t>
      </w:r>
      <w:r>
        <w:rPr>
          <w:rFonts w:hint="default" w:ascii="Times New Roman" w:hAnsi="Times New Roman" w:cs="Times New Roman"/>
          <w:color w:val="auto"/>
          <w:highlight w:val="none"/>
        </w:rPr>
        <w:t>指标，了解群众对项目的评价情况，对本项目展开满意度问卷调查。问卷调查</w:t>
      </w:r>
      <w:r>
        <w:rPr>
          <w:rFonts w:hint="default" w:ascii="Times New Roman" w:hAnsi="Times New Roman" w:cs="Times New Roman"/>
          <w:color w:val="auto"/>
          <w:highlight w:val="none"/>
          <w:lang w:val="en-US" w:eastAsia="zh-CN"/>
        </w:rPr>
        <w:t>工作情况如下：</w:t>
      </w:r>
    </w:p>
    <w:p>
      <w:pPr>
        <w:bidi w:val="0"/>
        <w:rPr>
          <w:rFonts w:hint="default" w:ascii="Times New Roman" w:hAnsi="Times New Roman" w:cs="Times New Roman"/>
          <w:b/>
          <w:bCs/>
          <w:color w:val="auto"/>
          <w:highlight w:val="none"/>
        </w:rPr>
      </w:pPr>
      <w:bookmarkStart w:id="81" w:name="_Toc529373554"/>
      <w:bookmarkStart w:id="82" w:name="_Toc529373321"/>
      <w:r>
        <w:rPr>
          <w:rFonts w:hint="default" w:ascii="Times New Roman" w:hAnsi="Times New Roman" w:cs="Times New Roman"/>
          <w:b/>
          <w:bCs/>
          <w:color w:val="auto"/>
          <w:highlight w:val="none"/>
          <w:lang w:val="en-US" w:eastAsia="zh-CN"/>
        </w:rPr>
        <w:t>1.</w:t>
      </w:r>
      <w:r>
        <w:rPr>
          <w:rFonts w:hint="default" w:ascii="Times New Roman" w:hAnsi="Times New Roman" w:cs="Times New Roman"/>
          <w:b/>
          <w:bCs/>
          <w:color w:val="auto"/>
          <w:highlight w:val="none"/>
        </w:rPr>
        <w:t>调</w:t>
      </w:r>
      <w:r>
        <w:rPr>
          <w:rFonts w:hint="eastAsia" w:cs="Times New Roman"/>
          <w:b/>
          <w:bCs/>
          <w:color w:val="auto"/>
          <w:highlight w:val="none"/>
          <w:lang w:val="en-US" w:eastAsia="zh-CN"/>
        </w:rPr>
        <w:t>查</w:t>
      </w:r>
      <w:r>
        <w:rPr>
          <w:rFonts w:hint="default" w:ascii="Times New Roman" w:hAnsi="Times New Roman" w:cs="Times New Roman"/>
          <w:b/>
          <w:bCs/>
          <w:color w:val="auto"/>
          <w:highlight w:val="none"/>
        </w:rPr>
        <w:t>对象</w:t>
      </w:r>
      <w:bookmarkEnd w:id="81"/>
      <w:bookmarkEnd w:id="82"/>
    </w:p>
    <w:p>
      <w:pPr>
        <w:ind w:firstLine="560"/>
        <w:rPr>
          <w:rFonts w:hint="default" w:ascii="Times New Roman" w:hAnsi="Times New Roman" w:cs="Times New Roman"/>
          <w:color w:val="auto"/>
          <w:highlight w:val="none"/>
        </w:rPr>
      </w:pPr>
      <w:r>
        <w:rPr>
          <w:rFonts w:hint="eastAsia" w:cs="Times New Roman"/>
          <w:color w:val="auto"/>
          <w:highlight w:val="none"/>
          <w:lang w:val="en-US" w:eastAsia="zh-CN"/>
        </w:rPr>
        <w:t>结合2024年度中央林业草原生态保护恢复资金（森林保护修复）项目的建设工作实施情况及实际问卷调查可操作性，本次满意度问卷旨在考察项目区群众对生态公益林补助政策实施效果的感知度，以及管护人员、周边居民对项目实施过程中生态修复成效、资金发放透明度、政策宣传力度等方面的满意度情况。因此，</w:t>
      </w:r>
      <w:r>
        <w:rPr>
          <w:rFonts w:hint="default" w:ascii="Times New Roman" w:hAnsi="Times New Roman" w:cs="Times New Roman"/>
          <w:color w:val="auto"/>
          <w:highlight w:val="none"/>
        </w:rPr>
        <w:t>本次</w:t>
      </w:r>
      <w:r>
        <w:rPr>
          <w:rFonts w:hint="eastAsia" w:cs="Times New Roman"/>
          <w:color w:val="auto"/>
          <w:highlight w:val="none"/>
          <w:lang w:val="en-US" w:eastAsia="zh-CN"/>
        </w:rPr>
        <w:t>满意度调查</w:t>
      </w:r>
      <w:r>
        <w:rPr>
          <w:rFonts w:hint="default" w:ascii="Times New Roman" w:hAnsi="Times New Roman" w:cs="Times New Roman"/>
          <w:color w:val="auto"/>
          <w:highlight w:val="none"/>
        </w:rPr>
        <w:t>的</w:t>
      </w:r>
      <w:r>
        <w:rPr>
          <w:rFonts w:hint="eastAsia" w:cs="Times New Roman"/>
          <w:color w:val="auto"/>
          <w:highlight w:val="none"/>
          <w:lang w:val="en-US" w:eastAsia="zh-CN"/>
        </w:rPr>
        <w:t>对象</w:t>
      </w:r>
      <w:r>
        <w:rPr>
          <w:rFonts w:hint="default" w:ascii="Times New Roman" w:hAnsi="Times New Roman" w:cs="Times New Roman"/>
          <w:color w:val="auto"/>
          <w:highlight w:val="none"/>
        </w:rPr>
        <w:t>为</w:t>
      </w:r>
      <w:r>
        <w:rPr>
          <w:rFonts w:hint="eastAsia" w:cs="Times New Roman"/>
          <w:color w:val="auto"/>
          <w:highlight w:val="none"/>
          <w:lang w:val="en-US" w:eastAsia="zh-CN"/>
        </w:rPr>
        <w:t>巴楚县自然资源局10个管护站的管护人员</w:t>
      </w:r>
      <w:r>
        <w:rPr>
          <w:rFonts w:hint="default" w:ascii="Times New Roman" w:hAnsi="Times New Roman" w:cs="Times New Roman"/>
          <w:color w:val="auto"/>
          <w:highlight w:val="none"/>
        </w:rPr>
        <w:t>。</w:t>
      </w:r>
    </w:p>
    <w:p>
      <w:pPr>
        <w:bidi w:val="0"/>
        <w:rPr>
          <w:rFonts w:hint="default" w:ascii="Times New Roman" w:hAnsi="Times New Roman" w:cs="Times New Roman"/>
          <w:b/>
          <w:bCs/>
          <w:color w:val="auto"/>
          <w:highlight w:val="none"/>
        </w:rPr>
      </w:pPr>
      <w:bookmarkStart w:id="83" w:name="_Toc529373555"/>
      <w:bookmarkStart w:id="84" w:name="_Toc529373322"/>
      <w:r>
        <w:rPr>
          <w:rFonts w:hint="default" w:ascii="Times New Roman" w:hAnsi="Times New Roman" w:cs="Times New Roman"/>
          <w:b/>
          <w:bCs/>
          <w:color w:val="auto"/>
          <w:highlight w:val="none"/>
          <w:lang w:val="en-US" w:eastAsia="zh-CN"/>
        </w:rPr>
        <w:t>2.</w:t>
      </w:r>
      <w:r>
        <w:rPr>
          <w:rFonts w:hint="default" w:ascii="Times New Roman" w:hAnsi="Times New Roman" w:cs="Times New Roman"/>
          <w:b/>
          <w:bCs/>
          <w:color w:val="auto"/>
          <w:highlight w:val="none"/>
        </w:rPr>
        <w:t>调</w:t>
      </w:r>
      <w:r>
        <w:rPr>
          <w:rFonts w:hint="eastAsia" w:cs="Times New Roman"/>
          <w:b/>
          <w:bCs/>
          <w:color w:val="auto"/>
          <w:highlight w:val="none"/>
          <w:lang w:val="en-US" w:eastAsia="zh-CN"/>
        </w:rPr>
        <w:t>查</w:t>
      </w:r>
      <w:r>
        <w:rPr>
          <w:rFonts w:hint="default" w:ascii="Times New Roman" w:hAnsi="Times New Roman" w:cs="Times New Roman"/>
          <w:b/>
          <w:bCs/>
          <w:color w:val="auto"/>
          <w:highlight w:val="none"/>
        </w:rPr>
        <w:t>内容</w:t>
      </w:r>
      <w:bookmarkEnd w:id="83"/>
      <w:bookmarkEnd w:id="84"/>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（1）对</w:t>
      </w:r>
      <w:r>
        <w:rPr>
          <w:rFonts w:hint="eastAsia" w:cs="Times New Roman"/>
          <w:color w:val="auto"/>
          <w:highlight w:val="none"/>
          <w:lang w:eastAsia="zh-CN"/>
        </w:rPr>
        <w:t>2024年中央林业草原生态保护恢复资金（森林保护修复）项目</w:t>
      </w:r>
      <w:r>
        <w:rPr>
          <w:rFonts w:hint="default" w:ascii="Times New Roman" w:hAnsi="Times New Roman" w:cs="Times New Roman"/>
          <w:color w:val="auto"/>
          <w:highlight w:val="none"/>
        </w:rPr>
        <w:t>实施后的满意度，包括对项目情况是否了解、知晓和满意、项目产品的应用是否了解和满意等。</w:t>
      </w:r>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（2）对</w:t>
      </w:r>
      <w:r>
        <w:rPr>
          <w:rFonts w:hint="eastAsia" w:cs="Times New Roman"/>
          <w:color w:val="auto"/>
          <w:highlight w:val="none"/>
          <w:lang w:eastAsia="zh-CN"/>
        </w:rPr>
        <w:t>2024年中央林业草原生态保护恢复资金（森林保护修复）项目</w:t>
      </w:r>
      <w:r>
        <w:rPr>
          <w:rFonts w:hint="default" w:ascii="Times New Roman" w:hAnsi="Times New Roman" w:cs="Times New Roman"/>
          <w:color w:val="auto"/>
          <w:highlight w:val="none"/>
        </w:rPr>
        <w:t>的意见和建议，通过开放式问答收集，涵盖各个方面。</w:t>
      </w:r>
    </w:p>
    <w:p>
      <w:pPr>
        <w:bidi w:val="0"/>
        <w:rPr>
          <w:rFonts w:hint="default" w:ascii="Times New Roman" w:hAnsi="Times New Roman" w:cs="Times New Roman"/>
          <w:b/>
          <w:bCs/>
          <w:color w:val="auto"/>
          <w:highlight w:val="none"/>
        </w:rPr>
      </w:pPr>
      <w:bookmarkStart w:id="85" w:name="_Toc529373323"/>
      <w:bookmarkStart w:id="86" w:name="_Toc529373556"/>
      <w:r>
        <w:rPr>
          <w:rFonts w:hint="default" w:ascii="Times New Roman" w:hAnsi="Times New Roman" w:cs="Times New Roman"/>
          <w:b/>
          <w:bCs/>
          <w:color w:val="auto"/>
          <w:highlight w:val="none"/>
          <w:lang w:val="en-US" w:eastAsia="zh-CN"/>
        </w:rPr>
        <w:t>3.</w:t>
      </w:r>
      <w:r>
        <w:rPr>
          <w:rFonts w:hint="default" w:ascii="Times New Roman" w:hAnsi="Times New Roman" w:cs="Times New Roman"/>
          <w:b/>
          <w:bCs/>
          <w:color w:val="auto"/>
          <w:highlight w:val="none"/>
        </w:rPr>
        <w:t>调</w:t>
      </w:r>
      <w:r>
        <w:rPr>
          <w:rFonts w:hint="eastAsia" w:cs="Times New Roman"/>
          <w:b/>
          <w:bCs/>
          <w:color w:val="auto"/>
          <w:highlight w:val="none"/>
          <w:lang w:val="en-US" w:eastAsia="zh-CN"/>
        </w:rPr>
        <w:t>查</w:t>
      </w:r>
      <w:r>
        <w:rPr>
          <w:rFonts w:hint="default" w:ascii="Times New Roman" w:hAnsi="Times New Roman" w:cs="Times New Roman"/>
          <w:b/>
          <w:bCs/>
          <w:color w:val="auto"/>
          <w:highlight w:val="none"/>
        </w:rPr>
        <w:t>方法</w:t>
      </w:r>
      <w:bookmarkEnd w:id="85"/>
      <w:bookmarkEnd w:id="86"/>
    </w:p>
    <w:p>
      <w:pPr>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为确保问卷</w:t>
      </w:r>
      <w:r>
        <w:rPr>
          <w:rFonts w:hint="eastAsia" w:ascii="Times New Roman" w:hAnsi="Times New Roman" w:cs="Times New Roman"/>
          <w:color w:val="auto"/>
          <w:highlight w:val="none"/>
          <w:lang w:val="en-US" w:eastAsia="zh-CN"/>
        </w:rPr>
        <w:t>调查</w:t>
      </w:r>
      <w:r>
        <w:rPr>
          <w:rFonts w:hint="default" w:ascii="Times New Roman" w:hAnsi="Times New Roman" w:cs="Times New Roman"/>
          <w:color w:val="auto"/>
          <w:highlight w:val="none"/>
        </w:rPr>
        <w:t>的全面性和代表性，在全面调研开展之前会先进行论证，依据论证结果对问卷和抽样方案再进行一次修改和调整。本次问卷调查采取抽样和重点选取的方式进行，对20</w:t>
      </w:r>
      <w:r>
        <w:rPr>
          <w:rFonts w:hint="eastAsia" w:cs="Times New Roman"/>
          <w:color w:val="auto"/>
          <w:highlight w:val="none"/>
          <w:lang w:val="en-US" w:eastAsia="zh-CN"/>
        </w:rPr>
        <w:t>24</w:t>
      </w:r>
      <w:r>
        <w:rPr>
          <w:rFonts w:hint="default" w:ascii="Times New Roman" w:hAnsi="Times New Roman" w:cs="Times New Roman"/>
          <w:color w:val="auto"/>
          <w:highlight w:val="none"/>
        </w:rPr>
        <w:t>年度</w:t>
      </w:r>
      <w:r>
        <w:rPr>
          <w:rFonts w:hint="eastAsia" w:cs="Times New Roman"/>
          <w:color w:val="auto"/>
          <w:highlight w:val="none"/>
          <w:lang w:val="en-US" w:eastAsia="zh-CN"/>
        </w:rPr>
        <w:t>管护人员</w:t>
      </w:r>
      <w:r>
        <w:rPr>
          <w:rFonts w:hint="default" w:ascii="Times New Roman" w:hAnsi="Times New Roman" w:cs="Times New Roman"/>
          <w:color w:val="auto"/>
          <w:highlight w:val="none"/>
        </w:rPr>
        <w:t>随机抽取</w:t>
      </w:r>
      <w:r>
        <w:rPr>
          <w:rFonts w:hint="eastAsia" w:cs="Times New Roman"/>
          <w:color w:val="auto"/>
          <w:highlight w:val="none"/>
          <w:lang w:val="en-US" w:eastAsia="zh-CN"/>
        </w:rPr>
        <w:t>81</w:t>
      </w:r>
      <w:r>
        <w:rPr>
          <w:rFonts w:hint="default" w:ascii="Times New Roman" w:hAnsi="Times New Roman" w:cs="Times New Roman"/>
          <w:color w:val="auto"/>
          <w:highlight w:val="none"/>
        </w:rPr>
        <w:t>人为样本，发放问卷</w:t>
      </w:r>
      <w:r>
        <w:rPr>
          <w:rFonts w:hint="eastAsia" w:cs="Times New Roman"/>
          <w:color w:val="auto"/>
          <w:highlight w:val="none"/>
          <w:lang w:val="en-US" w:eastAsia="zh-CN"/>
        </w:rPr>
        <w:t>81</w:t>
      </w:r>
      <w:r>
        <w:rPr>
          <w:rFonts w:hint="default" w:ascii="Times New Roman" w:hAnsi="Times New Roman" w:cs="Times New Roman"/>
          <w:color w:val="auto"/>
          <w:highlight w:val="none"/>
        </w:rPr>
        <w:t>份。</w:t>
      </w:r>
    </w:p>
    <w:p>
      <w:pPr>
        <w:bidi w:val="0"/>
        <w:rPr>
          <w:rFonts w:hint="default" w:ascii="Times New Roman" w:hAnsi="Times New Roman" w:cs="Times New Roman"/>
          <w:b/>
          <w:bCs/>
          <w:color w:val="auto"/>
          <w:highlight w:val="none"/>
        </w:rPr>
      </w:pPr>
      <w:bookmarkStart w:id="87" w:name="_Toc529373325"/>
      <w:bookmarkStart w:id="88" w:name="_Toc529373558"/>
      <w:r>
        <w:rPr>
          <w:rFonts w:hint="eastAsia" w:cs="Times New Roman"/>
          <w:b/>
          <w:bCs/>
          <w:color w:val="auto"/>
          <w:highlight w:val="none"/>
          <w:lang w:val="en-US" w:eastAsia="zh-CN"/>
        </w:rPr>
        <w:t>4</w:t>
      </w:r>
      <w:r>
        <w:rPr>
          <w:rFonts w:hint="default" w:ascii="Times New Roman" w:hAnsi="Times New Roman" w:cs="Times New Roman"/>
          <w:b/>
          <w:bCs/>
          <w:color w:val="auto"/>
          <w:highlight w:val="none"/>
          <w:lang w:val="en-US" w:eastAsia="zh-CN"/>
        </w:rPr>
        <w:t>.</w:t>
      </w:r>
      <w:r>
        <w:rPr>
          <w:rFonts w:hint="default" w:ascii="Times New Roman" w:hAnsi="Times New Roman" w:cs="Times New Roman"/>
          <w:b/>
          <w:bCs/>
          <w:color w:val="auto"/>
          <w:highlight w:val="none"/>
        </w:rPr>
        <w:t>问卷的发放和回收</w:t>
      </w:r>
      <w:bookmarkEnd w:id="87"/>
      <w:bookmarkEnd w:id="88"/>
    </w:p>
    <w:p>
      <w:pPr>
        <w:ind w:left="0" w:leftChars="0" w:firstLine="420" w:firstLineChars="20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为</w:t>
      </w:r>
      <w:r>
        <w:rPr>
          <w:rFonts w:hint="default" w:ascii="Times New Roman" w:hAnsi="Times New Roman" w:cs="Times New Roman"/>
          <w:color w:val="auto"/>
          <w:highlight w:val="none"/>
          <w:lang w:val="en-US" w:eastAsia="zh-CN"/>
        </w:rPr>
        <w:t>充分采集</w:t>
      </w:r>
      <w:r>
        <w:rPr>
          <w:rFonts w:hint="eastAsia" w:cs="Times New Roman"/>
          <w:color w:val="auto"/>
          <w:highlight w:val="none"/>
          <w:lang w:val="en-US" w:eastAsia="zh-CN"/>
        </w:rPr>
        <w:t>调查</w:t>
      </w:r>
      <w:r>
        <w:rPr>
          <w:rFonts w:hint="default" w:ascii="Times New Roman" w:hAnsi="Times New Roman" w:cs="Times New Roman"/>
          <w:color w:val="auto"/>
          <w:highlight w:val="none"/>
        </w:rPr>
        <w:t>对象</w:t>
      </w:r>
      <w:r>
        <w:rPr>
          <w:rFonts w:hint="default" w:ascii="Times New Roman" w:hAnsi="Times New Roman" w:cs="Times New Roman"/>
          <w:color w:val="auto"/>
          <w:highlight w:val="none"/>
          <w:lang w:eastAsia="zh-CN"/>
        </w:rPr>
        <w:t>的</w:t>
      </w:r>
      <w:r>
        <w:rPr>
          <w:rFonts w:hint="default" w:ascii="Times New Roman" w:hAnsi="Times New Roman" w:cs="Times New Roman"/>
          <w:color w:val="auto"/>
          <w:highlight w:val="none"/>
          <w:lang w:val="en-US" w:eastAsia="zh-CN"/>
        </w:rPr>
        <w:t>真实想法</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保证</w:t>
      </w:r>
      <w:r>
        <w:rPr>
          <w:rFonts w:hint="eastAsia" w:cs="Times New Roman"/>
          <w:color w:val="auto"/>
          <w:highlight w:val="none"/>
          <w:lang w:val="en-US" w:eastAsia="zh-CN"/>
        </w:rPr>
        <w:t>问卷调查</w:t>
      </w:r>
      <w:r>
        <w:rPr>
          <w:rFonts w:hint="default" w:ascii="Times New Roman" w:hAnsi="Times New Roman" w:cs="Times New Roman"/>
          <w:color w:val="auto"/>
          <w:highlight w:val="none"/>
        </w:rPr>
        <w:t>的</w:t>
      </w:r>
      <w:r>
        <w:rPr>
          <w:rFonts w:hint="default" w:ascii="Times New Roman" w:hAnsi="Times New Roman" w:cs="Times New Roman"/>
          <w:color w:val="auto"/>
          <w:highlight w:val="none"/>
          <w:lang w:val="en-US" w:eastAsia="zh-CN"/>
        </w:rPr>
        <w:t>公平性和</w:t>
      </w:r>
      <w:r>
        <w:rPr>
          <w:rFonts w:hint="default" w:ascii="Times New Roman" w:hAnsi="Times New Roman" w:cs="Times New Roman"/>
          <w:color w:val="auto"/>
          <w:highlight w:val="none"/>
        </w:rPr>
        <w:t>科学性，</w:t>
      </w:r>
      <w:r>
        <w:rPr>
          <w:rFonts w:hint="default" w:ascii="Times New Roman" w:hAnsi="Times New Roman" w:cs="Times New Roman"/>
          <w:color w:val="auto"/>
          <w:highlight w:val="none"/>
          <w:lang w:val="en-US" w:eastAsia="zh-CN"/>
        </w:rPr>
        <w:t>本次问卷</w:t>
      </w:r>
      <w:r>
        <w:rPr>
          <w:rFonts w:hint="eastAsia" w:ascii="Times New Roman" w:hAnsi="Times New Roman" w:cs="Times New Roman"/>
          <w:color w:val="auto"/>
          <w:highlight w:val="none"/>
          <w:lang w:val="en-US" w:eastAsia="zh-CN"/>
        </w:rPr>
        <w:t>调查</w:t>
      </w:r>
      <w:r>
        <w:rPr>
          <w:rFonts w:hint="default" w:ascii="Times New Roman" w:hAnsi="Times New Roman" w:cs="Times New Roman"/>
          <w:color w:val="auto"/>
          <w:highlight w:val="none"/>
          <w:lang w:val="en-US" w:eastAsia="zh-CN"/>
        </w:rPr>
        <w:t>不记名，</w:t>
      </w:r>
      <w:r>
        <w:rPr>
          <w:rFonts w:hint="eastAsia" w:cs="Times New Roman"/>
          <w:color w:val="auto"/>
          <w:highlight w:val="none"/>
          <w:lang w:val="en-US" w:eastAsia="zh-CN"/>
        </w:rPr>
        <w:t>通过电子</w:t>
      </w:r>
      <w:r>
        <w:rPr>
          <w:rFonts w:hint="default" w:ascii="Times New Roman" w:hAnsi="Times New Roman" w:cs="Times New Roman"/>
          <w:color w:val="auto"/>
          <w:highlight w:val="none"/>
        </w:rPr>
        <w:t>问卷</w:t>
      </w:r>
      <w:r>
        <w:rPr>
          <w:rFonts w:hint="eastAsia" w:cs="Times New Roman"/>
          <w:color w:val="auto"/>
          <w:highlight w:val="none"/>
          <w:lang w:val="en-US" w:eastAsia="zh-CN"/>
        </w:rPr>
        <w:t>形式进行</w:t>
      </w:r>
      <w:r>
        <w:rPr>
          <w:rFonts w:hint="default" w:ascii="Times New Roman" w:hAnsi="Times New Roman" w:cs="Times New Roman"/>
          <w:color w:val="auto"/>
          <w:highlight w:val="none"/>
        </w:rPr>
        <w:t>发放与回收。</w:t>
      </w:r>
    </w:p>
    <w:p>
      <w:pPr>
        <w:numPr>
          <w:ilvl w:val="0"/>
          <w:numId w:val="0"/>
        </w:numPr>
        <w:ind w:leftChars="200"/>
        <w:jc w:val="left"/>
        <w:rPr>
          <w:rFonts w:hint="default" w:ascii="Times New Roman" w:hAnsi="Times New Roman" w:cs="Times New Roman"/>
          <w:b/>
          <w:bCs/>
          <w:color w:val="auto"/>
          <w:highlight w:val="none"/>
          <w:lang w:val="en-US" w:eastAsia="zh-CN"/>
        </w:rPr>
      </w:pPr>
      <w:r>
        <w:rPr>
          <w:rFonts w:hint="eastAsia" w:cs="Times New Roman"/>
          <w:b/>
          <w:bCs/>
          <w:color w:val="auto"/>
          <w:highlight w:val="none"/>
          <w:lang w:val="en-US" w:eastAsia="zh-CN"/>
        </w:rPr>
        <w:t>5.</w:t>
      </w:r>
      <w:r>
        <w:rPr>
          <w:rFonts w:hint="default" w:ascii="Times New Roman" w:hAnsi="Times New Roman" w:cs="Times New Roman"/>
          <w:b/>
          <w:bCs/>
          <w:color w:val="auto"/>
          <w:highlight w:val="none"/>
          <w:lang w:val="en-US" w:eastAsia="zh-CN"/>
        </w:rPr>
        <w:t>问卷调查分析结果</w:t>
      </w:r>
    </w:p>
    <w:p>
      <w:pPr>
        <w:ind w:left="0" w:leftChars="0" w:firstLine="420" w:firstLineChars="200"/>
        <w:jc w:val="left"/>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本次调研过程中，</w:t>
      </w:r>
      <w:r>
        <w:rPr>
          <w:rFonts w:hint="eastAsia" w:cs="Times New Roman"/>
          <w:color w:val="auto"/>
          <w:highlight w:val="none"/>
          <w:lang w:val="en-US" w:eastAsia="zh-CN"/>
        </w:rPr>
        <w:t>评价组</w:t>
      </w:r>
      <w:r>
        <w:rPr>
          <w:rFonts w:hint="default" w:ascii="Times New Roman" w:hAnsi="Times New Roman" w:cs="Times New Roman"/>
          <w:color w:val="auto"/>
          <w:highlight w:val="none"/>
          <w:lang w:val="en-US" w:eastAsia="zh-CN"/>
        </w:rPr>
        <w:t>实际发放问卷</w:t>
      </w:r>
      <w:r>
        <w:rPr>
          <w:rFonts w:hint="eastAsia" w:cs="Times New Roman"/>
          <w:color w:val="auto"/>
          <w:highlight w:val="none"/>
          <w:lang w:val="en-US" w:eastAsia="zh-CN"/>
        </w:rPr>
        <w:t>81</w:t>
      </w:r>
      <w:r>
        <w:rPr>
          <w:rFonts w:hint="default" w:ascii="Times New Roman" w:hAnsi="Times New Roman" w:cs="Times New Roman"/>
          <w:color w:val="auto"/>
          <w:highlight w:val="none"/>
          <w:lang w:val="en-US" w:eastAsia="zh-CN"/>
        </w:rPr>
        <w:t>份，回收问卷</w:t>
      </w:r>
      <w:r>
        <w:rPr>
          <w:rFonts w:hint="eastAsia" w:cs="Times New Roman"/>
          <w:color w:val="auto"/>
          <w:highlight w:val="none"/>
          <w:lang w:val="en-US" w:eastAsia="zh-CN"/>
        </w:rPr>
        <w:t>81</w:t>
      </w:r>
      <w:r>
        <w:rPr>
          <w:rFonts w:hint="default" w:ascii="Times New Roman" w:hAnsi="Times New Roman" w:cs="Times New Roman"/>
          <w:color w:val="auto"/>
          <w:highlight w:val="none"/>
          <w:lang w:val="en-US" w:eastAsia="zh-CN"/>
        </w:rPr>
        <w:t>份，问卷回收率为</w:t>
      </w:r>
      <w:r>
        <w:rPr>
          <w:rFonts w:hint="eastAsia" w:cs="Times New Roman"/>
          <w:color w:val="auto"/>
          <w:highlight w:val="none"/>
          <w:lang w:val="en-US" w:eastAsia="zh-CN"/>
        </w:rPr>
        <w:t>100</w:t>
      </w:r>
      <w:r>
        <w:rPr>
          <w:rFonts w:hint="default" w:ascii="Times New Roman" w:hAnsi="Times New Roman" w:cs="Times New Roman"/>
          <w:color w:val="auto"/>
          <w:highlight w:val="none"/>
          <w:lang w:val="en-US" w:eastAsia="zh-CN"/>
        </w:rPr>
        <w:t>%，有效问卷</w:t>
      </w:r>
      <w:r>
        <w:rPr>
          <w:rFonts w:hint="eastAsia" w:cs="Times New Roman"/>
          <w:color w:val="auto"/>
          <w:highlight w:val="none"/>
          <w:lang w:val="en-US" w:eastAsia="zh-CN"/>
        </w:rPr>
        <w:t>81</w:t>
      </w:r>
      <w:r>
        <w:rPr>
          <w:rFonts w:hint="default" w:ascii="Times New Roman" w:hAnsi="Times New Roman" w:cs="Times New Roman"/>
          <w:color w:val="auto"/>
          <w:highlight w:val="none"/>
          <w:lang w:val="en-US" w:eastAsia="zh-CN"/>
        </w:rPr>
        <w:t>份，有效回收率</w:t>
      </w:r>
      <w:r>
        <w:rPr>
          <w:rFonts w:hint="eastAsia" w:cs="Times New Roman"/>
          <w:color w:val="auto"/>
          <w:highlight w:val="none"/>
          <w:lang w:val="en-US" w:eastAsia="zh-CN"/>
        </w:rPr>
        <w:t>100</w:t>
      </w:r>
      <w:r>
        <w:rPr>
          <w:rFonts w:hint="default" w:ascii="Times New Roman" w:hAnsi="Times New Roman" w:cs="Times New Roman"/>
          <w:color w:val="auto"/>
          <w:highlight w:val="none"/>
          <w:lang w:val="en-US" w:eastAsia="zh-CN"/>
        </w:rPr>
        <w:t>%，</w:t>
      </w:r>
      <w:r>
        <w:rPr>
          <w:rFonts w:hint="eastAsia" w:cs="Times New Roman"/>
          <w:color w:val="auto"/>
          <w:highlight w:val="none"/>
          <w:lang w:val="en-US" w:eastAsia="zh-CN"/>
        </w:rPr>
        <w:t>调研问卷总体满意度为94.74%。根据问卷调查结果反馈，管护员受益对象对提高森林资源管护水平和项目的实施过程及效果方面总体比较满意，对管护员基本生活需求保障方面满意程度一般。</w:t>
      </w:r>
      <w:r>
        <w:rPr>
          <w:rFonts w:hint="default" w:ascii="Times New Roman" w:hAnsi="Times New Roman" w:cs="Times New Roman"/>
          <w:color w:val="auto"/>
          <w:highlight w:val="none"/>
          <w:lang w:val="en-US" w:eastAsia="zh-CN"/>
        </w:rPr>
        <w:t>本次调研的</w:t>
      </w:r>
      <w:r>
        <w:rPr>
          <w:rFonts w:hint="eastAsia" w:cs="Times New Roman"/>
          <w:color w:val="auto"/>
          <w:highlight w:val="none"/>
          <w:lang w:val="en-US" w:eastAsia="zh-CN"/>
        </w:rPr>
        <w:t>具体</w:t>
      </w:r>
      <w:r>
        <w:rPr>
          <w:rFonts w:hint="default" w:ascii="Times New Roman" w:hAnsi="Times New Roman" w:cs="Times New Roman"/>
          <w:color w:val="auto"/>
          <w:highlight w:val="none"/>
          <w:lang w:val="en-US" w:eastAsia="zh-CN"/>
        </w:rPr>
        <w:t>情况如下：</w:t>
      </w:r>
    </w:p>
    <w:p>
      <w:pPr>
        <w:pStyle w:val="17"/>
        <w:rPr>
          <w:rFonts w:hint="default"/>
          <w:color w:val="auto"/>
          <w:highlight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（1）您认为通过本项目实施管护员是否知晓生态管护员补助政策？</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45"/>
        <w:gridCol w:w="2936"/>
        <w:gridCol w:w="2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是</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81</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100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否</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bl>
    <w:p>
      <w:pPr>
        <w:spacing w:line="240" w:lineRule="auto"/>
        <w:rPr>
          <w:rFonts w:hint="eastAsia"/>
          <w:color w:val="auto"/>
          <w:highlight w:val="none"/>
        </w:rPr>
      </w:pPr>
    </w:p>
    <w:p>
      <w:pPr>
        <w:rPr>
          <w:rFonts w:hint="default" w:eastAsiaTheme="minorEastAsia"/>
          <w:color w:val="auto"/>
          <w:highlight w:val="none"/>
          <w:lang w:val="en-US" w:eastAsia="zh-CN"/>
        </w:rPr>
      </w:pPr>
      <w:r>
        <w:rPr>
          <w:rFonts w:hint="eastAsia"/>
          <w:color w:val="auto"/>
          <w:highlight w:val="none"/>
        </w:rPr>
        <w:t>从调查数据显示，</w:t>
      </w:r>
      <w:r>
        <w:rPr>
          <w:rFonts w:hint="eastAsia"/>
          <w:color w:val="auto"/>
          <w:highlight w:val="none"/>
          <w:lang w:val="en-US" w:eastAsia="zh-CN"/>
        </w:rPr>
        <w:t>巴楚县自然资源局10个管护站的管护人员对</w:t>
      </w:r>
      <w:r>
        <w:rPr>
          <w:rFonts w:hint="default" w:ascii="Times New Roman" w:hAnsi="Times New Roman" w:eastAsia="宋体" w:cs="Times New Roman"/>
          <w:i w:val="0"/>
          <w:iCs w:val="0"/>
          <w:color w:val="auto"/>
          <w:kern w:val="0"/>
          <w:sz w:val="21"/>
          <w:szCs w:val="21"/>
          <w:highlight w:val="none"/>
          <w:u w:val="none"/>
          <w:lang w:val="en-US" w:eastAsia="zh-CN" w:bidi="ar"/>
        </w:rPr>
        <w:t>生态管护员补助政策</w:t>
      </w:r>
      <w:r>
        <w:rPr>
          <w:rFonts w:hint="eastAsia" w:eastAsia="宋体" w:cs="Times New Roman"/>
          <w:i w:val="0"/>
          <w:iCs w:val="0"/>
          <w:color w:val="auto"/>
          <w:kern w:val="0"/>
          <w:sz w:val="21"/>
          <w:szCs w:val="21"/>
          <w:highlight w:val="none"/>
          <w:u w:val="none"/>
          <w:lang w:val="en-US" w:eastAsia="zh-CN" w:bidi="ar"/>
        </w:rPr>
        <w:t>都知晓</w:t>
      </w:r>
      <w:r>
        <w:rPr>
          <w:rFonts w:hint="eastAsia"/>
          <w:color w:val="auto"/>
          <w:highlight w:val="none"/>
        </w:rPr>
        <w:t>。</w:t>
      </w:r>
    </w:p>
    <w:p>
      <w:pPr>
        <w:pStyle w:val="17"/>
        <w:rPr>
          <w:rFonts w:hint="default"/>
          <w:color w:val="auto"/>
          <w:highlight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w:t>
      </w:r>
      <w:r>
        <w:rPr>
          <w:rFonts w:hint="eastAsia" w:cs="Times New Roman"/>
          <w:i w:val="0"/>
          <w:iCs w:val="0"/>
          <w:color w:val="auto"/>
          <w:kern w:val="0"/>
          <w:sz w:val="21"/>
          <w:szCs w:val="21"/>
          <w:highlight w:val="none"/>
          <w:u w:val="none"/>
          <w:lang w:val="en-US" w:eastAsia="zh-CN" w:bidi="ar"/>
        </w:rPr>
        <w:t>2</w:t>
      </w:r>
      <w:r>
        <w:rPr>
          <w:rFonts w:hint="default" w:ascii="Times New Roman" w:hAnsi="Times New Roman" w:eastAsia="宋体" w:cs="Times New Roman"/>
          <w:i w:val="0"/>
          <w:iCs w:val="0"/>
          <w:color w:val="auto"/>
          <w:kern w:val="0"/>
          <w:sz w:val="21"/>
          <w:szCs w:val="21"/>
          <w:highlight w:val="none"/>
          <w:u w:val="none"/>
          <w:lang w:val="en-US" w:eastAsia="zh-CN" w:bidi="ar"/>
        </w:rPr>
        <w:t>）您认为通过本项目实施对管护员森林资源管护水平提高程度如何？</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45"/>
        <w:gridCol w:w="2936"/>
        <w:gridCol w:w="2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有效提高</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81</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100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提高效果良好</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default" w:ascii="Times New Roman" w:hAnsi="Times New Roman" w:eastAsia="宋体" w:cs="Times New Roman"/>
                <w:b w:val="0"/>
                <w:i w:val="0"/>
                <w:iCs w:val="0"/>
                <w:color w:val="auto"/>
                <w:kern w:val="0"/>
                <w:sz w:val="21"/>
                <w:szCs w:val="21"/>
                <w:highlight w:val="none"/>
                <w:u w:val="none"/>
                <w:lang w:val="en-US" w:eastAsia="zh-CN" w:bidi="ar"/>
              </w:rPr>
              <w:t>提高效果较差</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eastAsia="zh-CN"/>
              </w:rPr>
            </w:pPr>
            <w:r>
              <w:rPr>
                <w:rFonts w:hint="eastAsia" w:eastAsia="宋体" w:cs="Times New Roman"/>
                <w:b w:val="0"/>
                <w:i w:val="0"/>
                <w:iCs w:val="0"/>
                <w:color w:val="auto"/>
                <w:sz w:val="21"/>
                <w:szCs w:val="21"/>
                <w:highlight w:val="none"/>
                <w:u w:val="none"/>
                <w:lang w:val="en-US" w:eastAsia="zh-CN"/>
              </w:rPr>
              <w:t>无提高效果</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bl>
    <w:p>
      <w:pPr>
        <w:spacing w:line="240" w:lineRule="auto"/>
        <w:rPr>
          <w:rFonts w:hint="eastAsia"/>
          <w:color w:val="auto"/>
          <w:highlight w:val="none"/>
        </w:rPr>
      </w:pPr>
    </w:p>
    <w:p>
      <w:pPr>
        <w:rPr>
          <w:rFonts w:hint="default" w:eastAsiaTheme="minorEastAsia"/>
          <w:color w:val="auto"/>
          <w:highlight w:val="none"/>
          <w:lang w:val="en-US" w:eastAsia="zh-CN"/>
        </w:rPr>
      </w:pPr>
      <w:r>
        <w:rPr>
          <w:rFonts w:hint="eastAsia"/>
          <w:color w:val="auto"/>
          <w:highlight w:val="none"/>
        </w:rPr>
        <w:t>从调查数据显示，</w:t>
      </w:r>
      <w:r>
        <w:rPr>
          <w:rFonts w:hint="eastAsia"/>
          <w:color w:val="auto"/>
          <w:highlight w:val="none"/>
          <w:lang w:val="en-US" w:eastAsia="zh-CN"/>
        </w:rPr>
        <w:t>100</w:t>
      </w:r>
      <w:r>
        <w:rPr>
          <w:rFonts w:hint="eastAsia"/>
          <w:color w:val="auto"/>
          <w:highlight w:val="none"/>
        </w:rPr>
        <w:t>%的</w:t>
      </w:r>
      <w:r>
        <w:rPr>
          <w:rFonts w:hint="eastAsia"/>
          <w:color w:val="auto"/>
          <w:highlight w:val="none"/>
          <w:lang w:val="en-US" w:eastAsia="zh-CN"/>
        </w:rPr>
        <w:t>管护人员</w:t>
      </w:r>
      <w:r>
        <w:rPr>
          <w:rFonts w:hint="eastAsia"/>
          <w:color w:val="auto"/>
          <w:highlight w:val="none"/>
        </w:rPr>
        <w:t>认为</w:t>
      </w:r>
      <w:r>
        <w:rPr>
          <w:rFonts w:hint="eastAsia"/>
          <w:color w:val="auto"/>
          <w:highlight w:val="none"/>
          <w:lang w:val="en-US" w:eastAsia="zh-CN"/>
        </w:rPr>
        <w:t>通过本项目的实施，能够提升管护人员森林资源管护水平。</w:t>
      </w:r>
    </w:p>
    <w:p>
      <w:pPr>
        <w:pStyle w:val="17"/>
        <w:rPr>
          <w:rFonts w:hint="default"/>
          <w:color w:val="auto"/>
          <w:highlight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w:t>
      </w:r>
      <w:r>
        <w:rPr>
          <w:rFonts w:hint="eastAsia" w:cs="Times New Roman"/>
          <w:i w:val="0"/>
          <w:iCs w:val="0"/>
          <w:color w:val="auto"/>
          <w:kern w:val="0"/>
          <w:sz w:val="21"/>
          <w:szCs w:val="21"/>
          <w:highlight w:val="none"/>
          <w:u w:val="none"/>
          <w:lang w:val="en-US" w:eastAsia="zh-CN" w:bidi="ar"/>
        </w:rPr>
        <w:t>3</w:t>
      </w:r>
      <w:r>
        <w:rPr>
          <w:rFonts w:hint="default" w:ascii="Times New Roman" w:hAnsi="Times New Roman" w:eastAsia="宋体" w:cs="Times New Roman"/>
          <w:i w:val="0"/>
          <w:iCs w:val="0"/>
          <w:color w:val="auto"/>
          <w:kern w:val="0"/>
          <w:sz w:val="21"/>
          <w:szCs w:val="21"/>
          <w:highlight w:val="none"/>
          <w:u w:val="none"/>
          <w:lang w:val="en-US" w:eastAsia="zh-CN" w:bidi="ar"/>
        </w:rPr>
        <w:t>）您认为通过本项目实施对管护员基本生活需求保障程度如何？</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45"/>
        <w:gridCol w:w="2936"/>
        <w:gridCol w:w="2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有效保障</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80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98.77</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保障效果一般</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Times New Roman" w:hAnsi="Times New Roman" w:eastAsia="宋体" w:cs="Times New Roman"/>
                <w:b w:val="0"/>
                <w:i w:val="0"/>
                <w:iCs w:val="0"/>
                <w:color w:val="auto"/>
                <w:sz w:val="21"/>
                <w:szCs w:val="21"/>
                <w:highlight w:val="none"/>
                <w:u w:val="none"/>
                <w:lang w:val="en-US" w:eastAsia="zh-CN"/>
              </w:rPr>
            </w:pPr>
            <w:r>
              <w:rPr>
                <w:rFonts w:hint="eastAsia" w:eastAsia="宋体" w:cs="Times New Roman"/>
                <w:b w:val="0"/>
                <w:i w:val="0"/>
                <w:iCs w:val="0"/>
                <w:color w:val="auto"/>
                <w:sz w:val="21"/>
                <w:szCs w:val="21"/>
                <w:highlight w:val="none"/>
                <w:u w:val="none"/>
                <w:lang w:val="en-US" w:eastAsia="zh-CN"/>
              </w:rPr>
              <w:t>1</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1.23</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保障</w:t>
            </w:r>
            <w:r>
              <w:rPr>
                <w:rFonts w:hint="default" w:ascii="Times New Roman" w:hAnsi="Times New Roman" w:eastAsia="宋体" w:cs="Times New Roman"/>
                <w:b w:val="0"/>
                <w:i w:val="0"/>
                <w:iCs w:val="0"/>
                <w:color w:val="auto"/>
                <w:kern w:val="0"/>
                <w:sz w:val="21"/>
                <w:szCs w:val="21"/>
                <w:highlight w:val="none"/>
                <w:u w:val="none"/>
                <w:lang w:val="en-US" w:eastAsia="zh-CN" w:bidi="ar"/>
              </w:rPr>
              <w:t>效果较差</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eastAsia="zh-CN"/>
              </w:rPr>
            </w:pPr>
            <w:r>
              <w:rPr>
                <w:rFonts w:hint="eastAsia" w:eastAsia="宋体" w:cs="Times New Roman"/>
                <w:b w:val="0"/>
                <w:i w:val="0"/>
                <w:iCs w:val="0"/>
                <w:color w:val="auto"/>
                <w:sz w:val="21"/>
                <w:szCs w:val="21"/>
                <w:highlight w:val="none"/>
                <w:u w:val="none"/>
                <w:lang w:val="en-US" w:eastAsia="zh-CN"/>
              </w:rPr>
              <w:t>无保障效果</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bl>
    <w:p>
      <w:pPr>
        <w:spacing w:line="240" w:lineRule="auto"/>
        <w:rPr>
          <w:rFonts w:hint="eastAsia"/>
          <w:color w:val="auto"/>
          <w:highlight w:val="none"/>
        </w:rPr>
      </w:pPr>
    </w:p>
    <w:p>
      <w:pPr>
        <w:rPr>
          <w:rFonts w:hint="eastAsia" w:eastAsia="宋体" w:cs="Times New Roman"/>
          <w:i w:val="0"/>
          <w:iCs w:val="0"/>
          <w:color w:val="auto"/>
          <w:kern w:val="0"/>
          <w:sz w:val="21"/>
          <w:szCs w:val="21"/>
          <w:highlight w:val="none"/>
          <w:u w:val="none"/>
          <w:lang w:val="en-US" w:eastAsia="zh-CN" w:bidi="ar"/>
        </w:rPr>
      </w:pPr>
      <w:r>
        <w:rPr>
          <w:rFonts w:hint="eastAsia"/>
          <w:color w:val="auto"/>
          <w:highlight w:val="none"/>
        </w:rPr>
        <w:t>从调查数据显示，</w:t>
      </w:r>
      <w:r>
        <w:rPr>
          <w:rFonts w:hint="eastAsia"/>
          <w:color w:val="auto"/>
          <w:highlight w:val="none"/>
          <w:lang w:val="en-US" w:eastAsia="zh-CN"/>
        </w:rPr>
        <w:t>有98.77</w:t>
      </w:r>
      <w:r>
        <w:rPr>
          <w:rFonts w:hint="eastAsia"/>
          <w:color w:val="auto"/>
          <w:highlight w:val="none"/>
        </w:rPr>
        <w:t>%的</w:t>
      </w:r>
      <w:r>
        <w:rPr>
          <w:rFonts w:hint="eastAsia"/>
          <w:color w:val="auto"/>
          <w:highlight w:val="none"/>
          <w:lang w:val="en-US" w:eastAsia="zh-CN"/>
        </w:rPr>
        <w:t>管护人员</w:t>
      </w:r>
      <w:r>
        <w:rPr>
          <w:rFonts w:hint="eastAsia"/>
          <w:color w:val="auto"/>
          <w:highlight w:val="none"/>
        </w:rPr>
        <w:t>认为</w:t>
      </w:r>
      <w:r>
        <w:rPr>
          <w:rFonts w:hint="eastAsia"/>
          <w:color w:val="auto"/>
          <w:highlight w:val="none"/>
          <w:lang w:val="en-US" w:eastAsia="zh-CN"/>
        </w:rPr>
        <w:t>通过本项目的实施，能够对</w:t>
      </w:r>
      <w:r>
        <w:rPr>
          <w:rFonts w:hint="default" w:ascii="Times New Roman" w:hAnsi="Times New Roman" w:eastAsia="宋体" w:cs="Times New Roman"/>
          <w:i w:val="0"/>
          <w:iCs w:val="0"/>
          <w:color w:val="auto"/>
          <w:kern w:val="0"/>
          <w:sz w:val="21"/>
          <w:szCs w:val="21"/>
          <w:highlight w:val="none"/>
          <w:u w:val="none"/>
          <w:lang w:val="en-US" w:eastAsia="zh-CN" w:bidi="ar"/>
        </w:rPr>
        <w:t>管护员基本生活需求</w:t>
      </w:r>
      <w:r>
        <w:rPr>
          <w:rFonts w:hint="eastAsia" w:eastAsia="宋体" w:cs="Times New Roman"/>
          <w:i w:val="0"/>
          <w:iCs w:val="0"/>
          <w:color w:val="auto"/>
          <w:kern w:val="0"/>
          <w:sz w:val="21"/>
          <w:szCs w:val="21"/>
          <w:highlight w:val="none"/>
          <w:u w:val="none"/>
          <w:lang w:val="en-US" w:eastAsia="zh-CN" w:bidi="ar"/>
        </w:rPr>
        <w:t>有效保障，完全保障了管护人员基本生活需求，但有1.23%的管护人员认为，保障效果一般，该项目的实施开展，并不能够完全保障自己的基本生活需求，调查结果表明，调查数据反映出2024年中央林业草原生态保护恢复资金（森林保护修复）项目在管护人员生活保障方面取得显著成效，但仍存在局部优化空间。基于反馈结果，建议精准补助机制优化、管护能力体系建设和‌满意度追踪与反馈闭环。</w:t>
      </w:r>
    </w:p>
    <w:p>
      <w:pPr>
        <w:pStyle w:val="17"/>
        <w:rPr>
          <w:rFonts w:hint="default"/>
          <w:color w:val="auto"/>
          <w:highlight w:val="none"/>
          <w:lang w:val="en-US"/>
        </w:rPr>
      </w:pPr>
      <w:r>
        <w:rPr>
          <w:rFonts w:hint="default" w:ascii="Times New Roman" w:hAnsi="Times New Roman" w:eastAsia="宋体" w:cs="Times New Roman"/>
          <w:i w:val="0"/>
          <w:iCs w:val="0"/>
          <w:color w:val="auto"/>
          <w:kern w:val="0"/>
          <w:sz w:val="21"/>
          <w:szCs w:val="21"/>
          <w:highlight w:val="none"/>
          <w:u w:val="none"/>
          <w:lang w:val="en-US" w:eastAsia="zh-CN" w:bidi="ar"/>
        </w:rPr>
        <w:t>（</w:t>
      </w:r>
      <w:r>
        <w:rPr>
          <w:rFonts w:hint="eastAsia" w:cs="Times New Roman"/>
          <w:i w:val="0"/>
          <w:iCs w:val="0"/>
          <w:color w:val="auto"/>
          <w:kern w:val="0"/>
          <w:sz w:val="21"/>
          <w:szCs w:val="21"/>
          <w:highlight w:val="none"/>
          <w:u w:val="none"/>
          <w:lang w:val="en-US" w:eastAsia="zh-CN" w:bidi="ar"/>
        </w:rPr>
        <w:t>4</w:t>
      </w:r>
      <w:r>
        <w:rPr>
          <w:rFonts w:hint="default" w:ascii="Times New Roman" w:hAnsi="Times New Roman" w:eastAsia="宋体" w:cs="Times New Roman"/>
          <w:i w:val="0"/>
          <w:iCs w:val="0"/>
          <w:color w:val="auto"/>
          <w:kern w:val="0"/>
          <w:sz w:val="21"/>
          <w:szCs w:val="21"/>
          <w:highlight w:val="none"/>
          <w:u w:val="none"/>
          <w:lang w:val="en-US" w:eastAsia="zh-CN" w:bidi="ar"/>
        </w:rPr>
        <w:t>）您对本项目的实施过程及效果是否满意?</w:t>
      </w:r>
    </w:p>
    <w:tbl>
      <w:tblPr>
        <w:tblStyle w:val="1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45"/>
        <w:gridCol w:w="2936"/>
        <w:gridCol w:w="27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l2br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选项</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反馈数量</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bCs/>
                <w:i w:val="0"/>
                <w:iCs w:val="0"/>
                <w:color w:val="auto"/>
                <w:sz w:val="21"/>
                <w:szCs w:val="21"/>
                <w:highlight w:val="none"/>
                <w:u w:val="none"/>
              </w:rPr>
            </w:pPr>
            <w:r>
              <w:rPr>
                <w:rFonts w:hint="default" w:ascii="Times New Roman" w:hAnsi="Times New Roman" w:eastAsia="宋体" w:cs="Times New Roman"/>
                <w:b w:val="0"/>
                <w:bCs/>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十分满意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81</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100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一般满意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rPr>
            </w:pPr>
            <w:r>
              <w:rPr>
                <w:rFonts w:hint="eastAsia" w:eastAsia="宋体" w:cs="Times New Roman"/>
                <w:b w:val="0"/>
                <w:i w:val="0"/>
                <w:iCs w:val="0"/>
                <w:color w:val="auto"/>
                <w:kern w:val="0"/>
                <w:sz w:val="21"/>
                <w:szCs w:val="21"/>
                <w:highlight w:val="none"/>
                <w:u w:val="none"/>
                <w:lang w:val="en-US" w:eastAsia="zh-CN" w:bidi="ar"/>
              </w:rPr>
              <w:t>不太满意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669"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lang w:val="en-US" w:eastAsia="zh-CN"/>
              </w:rPr>
            </w:pPr>
            <w:r>
              <w:rPr>
                <w:rFonts w:hint="eastAsia" w:eastAsia="宋体" w:cs="Times New Roman"/>
                <w:b w:val="0"/>
                <w:i w:val="0"/>
                <w:iCs w:val="0"/>
                <w:color w:val="auto"/>
                <w:sz w:val="21"/>
                <w:szCs w:val="21"/>
                <w:highlight w:val="none"/>
                <w:u w:val="none"/>
                <w:lang w:val="en-US" w:eastAsia="zh-CN"/>
              </w:rPr>
              <w:t>不满意</w:t>
            </w:r>
          </w:p>
        </w:tc>
        <w:tc>
          <w:tcPr>
            <w:tcW w:w="1722"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p>
        </w:tc>
        <w:tc>
          <w:tcPr>
            <w:tcW w:w="1608"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Times New Roman" w:hAnsi="Times New Roman" w:eastAsia="宋体" w:cs="Times New Roman"/>
                <w:b w:val="0"/>
                <w:i w:val="0"/>
                <w:iCs w:val="0"/>
                <w:color w:val="auto"/>
                <w:sz w:val="21"/>
                <w:szCs w:val="21"/>
                <w:highlight w:val="none"/>
                <w:u w:val="none"/>
              </w:rPr>
            </w:pPr>
            <w:r>
              <w:rPr>
                <w:rFonts w:hint="eastAsia" w:eastAsia="宋体" w:cs="Times New Roman"/>
                <w:b w:val="0"/>
                <w:i w:val="0"/>
                <w:iCs w:val="0"/>
                <w:color w:val="auto"/>
                <w:kern w:val="0"/>
                <w:sz w:val="21"/>
                <w:szCs w:val="21"/>
                <w:highlight w:val="none"/>
                <w:u w:val="none"/>
                <w:lang w:val="en-US" w:eastAsia="zh-CN" w:bidi="ar"/>
              </w:rPr>
              <w:t>0</w:t>
            </w:r>
            <w:r>
              <w:rPr>
                <w:rFonts w:hint="default" w:ascii="Times New Roman" w:hAnsi="Times New Roman" w:eastAsia="宋体" w:cs="Times New Roman"/>
                <w:b w:val="0"/>
                <w:i w:val="0"/>
                <w:iCs w:val="0"/>
                <w:color w:val="auto"/>
                <w:kern w:val="0"/>
                <w:sz w:val="21"/>
                <w:szCs w:val="21"/>
                <w:highlight w:val="none"/>
                <w:u w:val="none"/>
                <w:lang w:val="en-US" w:eastAsia="zh-CN" w:bidi="ar"/>
              </w:rPr>
              <w:t>%</w:t>
            </w:r>
          </w:p>
        </w:tc>
      </w:tr>
    </w:tbl>
    <w:p>
      <w:pPr>
        <w:spacing w:line="240" w:lineRule="auto"/>
        <w:rPr>
          <w:rFonts w:hint="eastAsia"/>
          <w:color w:val="auto"/>
          <w:highlight w:val="none"/>
        </w:rPr>
      </w:pPr>
    </w:p>
    <w:p>
      <w:pPr>
        <w:pStyle w:val="2"/>
        <w:rPr>
          <w:rFonts w:hint="default" w:ascii="Times New Roman" w:hAnsi="Times New Roman"/>
          <w:b w:val="0"/>
          <w:bCs w:val="0"/>
          <w:color w:val="auto"/>
          <w:kern w:val="2"/>
          <w:szCs w:val="21"/>
          <w:highlight w:val="none"/>
          <w:lang w:val="en-US" w:eastAsia="zh-CN"/>
        </w:rPr>
      </w:pPr>
      <w:r>
        <w:rPr>
          <w:rFonts w:hint="eastAsia" w:ascii="Times New Roman" w:hAnsi="Times New Roman"/>
          <w:b w:val="0"/>
          <w:bCs w:val="0"/>
          <w:color w:val="auto"/>
          <w:kern w:val="2"/>
          <w:szCs w:val="21"/>
          <w:highlight w:val="none"/>
        </w:rPr>
        <w:t>从调查数据显示，</w:t>
      </w:r>
      <w:r>
        <w:rPr>
          <w:rFonts w:hint="eastAsia" w:ascii="Times New Roman" w:hAnsi="Times New Roman"/>
          <w:b w:val="0"/>
          <w:bCs w:val="0"/>
          <w:color w:val="auto"/>
          <w:kern w:val="2"/>
          <w:szCs w:val="21"/>
          <w:highlight w:val="none"/>
          <w:lang w:val="en-US" w:eastAsia="zh-CN"/>
        </w:rPr>
        <w:t>100</w:t>
      </w:r>
      <w:r>
        <w:rPr>
          <w:rFonts w:hint="eastAsia" w:ascii="Times New Roman" w:hAnsi="Times New Roman"/>
          <w:b w:val="0"/>
          <w:bCs w:val="0"/>
          <w:color w:val="auto"/>
          <w:kern w:val="2"/>
          <w:szCs w:val="21"/>
          <w:highlight w:val="none"/>
        </w:rPr>
        <w:t>%的</w:t>
      </w:r>
      <w:r>
        <w:rPr>
          <w:rFonts w:hint="eastAsia" w:ascii="Times New Roman" w:hAnsi="Times New Roman"/>
          <w:b w:val="0"/>
          <w:bCs w:val="0"/>
          <w:color w:val="auto"/>
          <w:kern w:val="2"/>
          <w:szCs w:val="21"/>
          <w:highlight w:val="none"/>
          <w:lang w:val="en-US" w:eastAsia="zh-CN"/>
        </w:rPr>
        <w:t>管护人员</w:t>
      </w:r>
      <w:r>
        <w:rPr>
          <w:rFonts w:hint="eastAsia" w:ascii="Times New Roman" w:hAnsi="Times New Roman"/>
          <w:b w:val="0"/>
          <w:bCs w:val="0"/>
          <w:color w:val="auto"/>
          <w:kern w:val="2"/>
          <w:szCs w:val="21"/>
          <w:highlight w:val="none"/>
        </w:rPr>
        <w:t>认为</w:t>
      </w:r>
      <w:r>
        <w:rPr>
          <w:rFonts w:hint="eastAsia" w:ascii="Times New Roman" w:hAnsi="Times New Roman"/>
          <w:b w:val="0"/>
          <w:bCs w:val="0"/>
          <w:color w:val="auto"/>
          <w:kern w:val="2"/>
          <w:szCs w:val="21"/>
          <w:highlight w:val="none"/>
          <w:lang w:val="en-US" w:eastAsia="zh-CN"/>
        </w:rPr>
        <w:t>通对本项目的实施过程及效果十分满意，通过管护人员管护能力的提升，对森林的生态安全起到一定预防作用，森立资源在不断增长的同时，也准确地掌握国家级公益林资源动态变化趋势，分析变化的原因、提出保护和管理的对策。</w:t>
      </w:r>
    </w:p>
    <w:p>
      <w:pPr>
        <w:pageBreakBefore w:val="0"/>
        <w:kinsoku/>
        <w:wordWrap/>
        <w:overflowPunct/>
        <w:topLinePunct w:val="0"/>
        <w:autoSpaceDE/>
        <w:autoSpaceDN/>
        <w:bidi w:val="0"/>
        <w:snapToGrid w:val="0"/>
        <w:spacing w:before="0" w:after="0" w:line="360" w:lineRule="auto"/>
        <w:ind w:left="420" w:leftChars="200" w:firstLine="0" w:firstLineChars="0"/>
        <w:jc w:val="left"/>
      </w:pPr>
      <w:r>
        <w:br w:type="page"/>
      </w:r>
    </w:p>
    <w:p>
      <w:pPr>
        <w:pStyle w:val="5"/>
        <w:pageBreakBefore w:val="0"/>
        <w:kinsoku/>
        <w:wordWrap/>
        <w:overflowPunct/>
        <w:topLinePunct w:val="0"/>
        <w:autoSpaceDE/>
        <w:autoSpaceDN/>
        <w:bidi w:val="0"/>
        <w:snapToGrid w:val="0"/>
        <w:spacing w:before="0" w:after="0" w:line="360" w:lineRule="auto"/>
        <w:ind w:firstLine="0" w:firstLineChars="0"/>
      </w:pPr>
      <w:bookmarkStart w:id="89" w:name="_Toc23223"/>
      <w:bookmarkStart w:id="90" w:name="_Toc17928"/>
      <w:bookmarkStart w:id="91" w:name="_Toc32397"/>
      <w:bookmarkStart w:id="92" w:name="_Toc27000"/>
      <w:r>
        <w:t>附件4：现场勘查照片</w:t>
      </w:r>
      <w:bookmarkEnd w:id="89"/>
      <w:bookmarkEnd w:id="90"/>
      <w:bookmarkEnd w:id="91"/>
      <w:bookmarkEnd w:id="92"/>
    </w:p>
    <w:p>
      <w:pPr>
        <w:pageBreakBefore w:val="0"/>
        <w:kinsoku/>
        <w:wordWrap/>
        <w:overflowPunct/>
        <w:topLinePunct w:val="0"/>
        <w:autoSpaceDE/>
        <w:autoSpaceDN/>
        <w:bidi w:val="0"/>
        <w:snapToGrid w:val="0"/>
        <w:spacing w:before="0" w:after="0" w:line="360" w:lineRule="auto"/>
        <w:ind w:firstLine="0" w:firstLineChars="0"/>
      </w:pPr>
      <w:r>
        <w:br w:type="page"/>
      </w:r>
    </w:p>
    <w:p>
      <w:pPr>
        <w:pStyle w:val="5"/>
        <w:pageBreakBefore w:val="0"/>
        <w:kinsoku/>
        <w:wordWrap/>
        <w:overflowPunct/>
        <w:topLinePunct w:val="0"/>
        <w:autoSpaceDE/>
        <w:autoSpaceDN/>
        <w:bidi w:val="0"/>
        <w:snapToGrid w:val="0"/>
        <w:spacing w:before="0" w:after="0" w:line="360" w:lineRule="auto"/>
        <w:ind w:firstLine="0" w:firstLineChars="0"/>
      </w:pPr>
      <w:bookmarkStart w:id="93" w:name="_Toc12827"/>
      <w:bookmarkStart w:id="94" w:name="_Toc51"/>
      <w:r>
        <w:t>附件5：</w:t>
      </w:r>
      <w:bookmarkEnd w:id="93"/>
      <w:r>
        <w:t>绩效评价</w:t>
      </w:r>
      <w:r>
        <w:rPr>
          <w:rFonts w:hint="eastAsia"/>
        </w:rPr>
        <w:t>工作沟通</w:t>
      </w:r>
      <w:r>
        <w:t>反馈</w:t>
      </w:r>
      <w:r>
        <w:rPr>
          <w:rFonts w:hint="eastAsia"/>
        </w:rPr>
        <w:t>结果</w:t>
      </w:r>
      <w:bookmarkEnd w:id="94"/>
    </w:p>
    <w:p>
      <w:pPr>
        <w:pageBreakBefore w:val="0"/>
        <w:kinsoku/>
        <w:wordWrap/>
        <w:overflowPunct/>
        <w:topLinePunct w:val="0"/>
        <w:autoSpaceDE/>
        <w:autoSpaceDN/>
        <w:bidi w:val="0"/>
        <w:snapToGrid w:val="0"/>
        <w:spacing w:before="0" w:after="0" w:line="360" w:lineRule="auto"/>
        <w:ind w:firstLine="420"/>
        <w:rPr>
          <w:color w:val="FF0000"/>
        </w:rPr>
      </w:pPr>
      <w:r>
        <w:rPr>
          <w:rFonts w:hint="eastAsia"/>
          <w:color w:val="FF0000"/>
        </w:rPr>
        <w:t>XXX。</w:t>
      </w:r>
    </w:p>
    <w:p>
      <w:pPr>
        <w:pageBreakBefore w:val="0"/>
        <w:kinsoku/>
        <w:wordWrap/>
        <w:overflowPunct/>
        <w:topLinePunct w:val="0"/>
        <w:autoSpaceDE/>
        <w:autoSpaceDN/>
        <w:bidi w:val="0"/>
        <w:snapToGrid w:val="0"/>
        <w:spacing w:before="0" w:after="0" w:line="360" w:lineRule="auto"/>
        <w:ind w:firstLine="0" w:firstLineChars="0"/>
        <w:rPr>
          <w:rFonts w:eastAsia="黑体"/>
        </w:rPr>
      </w:pPr>
    </w:p>
    <w:sectPr>
      <w:footerReference r:id="rId14" w:type="default"/>
      <w:pgSz w:w="11906" w:h="16838"/>
      <w:pgMar w:top="1440" w:right="1800" w:bottom="1440" w:left="1800" w:header="851" w:footer="90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hakuyoxingshu7000"/>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00" w:usb3="00000000" w:csb0="00040000" w:csb1="00000000"/>
  </w:font>
  <w:font w:name="hakuyoxingshu7000">
    <w:panose1 w:val="02000600000000000000"/>
    <w:charset w:val="86"/>
    <w:family w:val="auto"/>
    <w:pitch w:val="default"/>
    <w:sig w:usb0="FFFFFFFF" w:usb1="E9FFFFFF" w:usb2="0000003F" w:usb3="00000000" w:csb0="603F00FF" w:csb1="FFFF0000"/>
  </w:font>
  <w:font w:name="Meiryo">
    <w:panose1 w:val="020B0604030504040204"/>
    <w:charset w:val="80"/>
    <w:family w:val="auto"/>
    <w:pitch w:val="default"/>
    <w:sig w:usb0="E10102FF" w:usb1="EAC7FFFF" w:usb2="00010012" w:usb3="00000000" w:csb0="6002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2"/>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2633980</wp:posOffset>
              </wp:positionH>
              <wp:positionV relativeFrom="paragraph">
                <wp:posOffset>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7.4pt;margin-top:0pt;height:144pt;width:25.7pt;mso-position-horizontal-relative:margin;z-index:251659264;mso-width-relative:page;mso-height-relative:page;" filled="f" stroked="f" coordsize="21600,21600" o:gfxdata="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Gzqn9UAAAAIAQAADwAAAAAA&#10;AAABACAAAAAiAAAAZHJzL2Rvd25yZXYueG1sUEsBAhQAFAAAAAgAh07iQLGHlg6kAQAAMgMAAA4A&#10;AAAAAAAAAQAgAAAAJAEAAGRycy9lMm9Eb2MueG1sUEsFBgAAAAAGAAYAWQEAADoFAAAAAA==&#10;">
              <v:fill on="f" focussize="0,0"/>
              <v:stroke on="f"/>
              <v:imagedata o:title=""/>
              <o:lock v:ext="edit" aspectratio="f"/>
              <v:textbox inset="0mm,0mm,0mm,0mm" style="mso-fit-shape-to-text:t;">
                <w:txbxContent>
                  <w:p>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w:t>
        </w:r>
        <w:r>
          <w:fldChar w:fldCharType="end"/>
        </w:r>
      </w:p>
    </w:sdtContent>
  </w:sdt>
  <w:p>
    <w:pPr>
      <w:pStyle w:val="12"/>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7</w:t>
        </w:r>
        <w:r>
          <w:fldChar w:fldCharType="end"/>
        </w:r>
      </w:p>
    </w:sdtContent>
  </w:sdt>
  <w:p>
    <w:pPr>
      <w:pStyle w:val="12"/>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pPr>
          <w:pStyle w:val="12"/>
          <w:ind w:firstLine="360"/>
          <w:jc w:val="center"/>
        </w:pPr>
        <w:r>
          <w:fldChar w:fldCharType="begin"/>
        </w:r>
        <w:r>
          <w:instrText xml:space="preserve">PAGE   \* MERGEFORMAT</w:instrText>
        </w:r>
        <w:r>
          <w:fldChar w:fldCharType="separate"/>
        </w:r>
        <w:r>
          <w:rPr>
            <w:lang w:val="zh-CN"/>
          </w:rPr>
          <w:t>11</w:t>
        </w:r>
        <w:r>
          <w:fldChar w:fldCharType="end"/>
        </w:r>
      </w:p>
    </w:sdtContent>
  </w:sdt>
  <w:p>
    <w:pPr>
      <w:pStyle w:val="12"/>
      <w:ind w:firstLine="0" w:firstLineChars="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4" w:space="0"/>
      </w:pBdr>
      <w:ind w:firstLine="0" w:firstLineChars="0"/>
      <w:jc w:val="right"/>
      <w:rPr>
        <w:rFonts w:ascii="黑体" w:hAnsi="黑体" w:eastAsia="黑体" w:cs="黑体"/>
        <w:b/>
        <w:bCs/>
        <w:color w:val="auto"/>
        <w:sz w:val="15"/>
        <w:szCs w:val="15"/>
      </w:rPr>
    </w:pPr>
    <w:r>
      <w:rPr>
        <w:rFonts w:hint="eastAsia" w:ascii="黑体" w:hAnsi="黑体" w:eastAsia="黑体" w:cs="黑体"/>
        <w:b/>
        <w:bCs/>
        <w:color w:val="auto"/>
        <w:sz w:val="15"/>
        <w:szCs w:val="15"/>
      </w:rPr>
      <w:t>2024年中央林业草原生态保护恢复资金（森林保护修复）项目绩效评价报告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2B45E0D"/>
    <w:rsid w:val="04542819"/>
    <w:rsid w:val="08C012D4"/>
    <w:rsid w:val="0950746A"/>
    <w:rsid w:val="09E65C14"/>
    <w:rsid w:val="0C69230C"/>
    <w:rsid w:val="0D3E3A8C"/>
    <w:rsid w:val="0E4B13F3"/>
    <w:rsid w:val="0EC86014"/>
    <w:rsid w:val="11C83272"/>
    <w:rsid w:val="13513B8A"/>
    <w:rsid w:val="16816E45"/>
    <w:rsid w:val="175F736A"/>
    <w:rsid w:val="178025FC"/>
    <w:rsid w:val="1821504C"/>
    <w:rsid w:val="1FA67F05"/>
    <w:rsid w:val="20070B5C"/>
    <w:rsid w:val="20597D5A"/>
    <w:rsid w:val="208800D4"/>
    <w:rsid w:val="20E91BAB"/>
    <w:rsid w:val="23B14FE2"/>
    <w:rsid w:val="256C647B"/>
    <w:rsid w:val="25AF6319"/>
    <w:rsid w:val="25F7546A"/>
    <w:rsid w:val="2AAD1304"/>
    <w:rsid w:val="2CD07DE1"/>
    <w:rsid w:val="2E3074FB"/>
    <w:rsid w:val="30BB1AA0"/>
    <w:rsid w:val="31666F0B"/>
    <w:rsid w:val="323929CD"/>
    <w:rsid w:val="33484DD4"/>
    <w:rsid w:val="35A53AD6"/>
    <w:rsid w:val="372A5C55"/>
    <w:rsid w:val="37823126"/>
    <w:rsid w:val="398D26CB"/>
    <w:rsid w:val="3AEF3BB8"/>
    <w:rsid w:val="3DAF0D3F"/>
    <w:rsid w:val="3DB50D85"/>
    <w:rsid w:val="43252EAD"/>
    <w:rsid w:val="44AE49FA"/>
    <w:rsid w:val="44D426B2"/>
    <w:rsid w:val="46D1728D"/>
    <w:rsid w:val="49516307"/>
    <w:rsid w:val="4C6E6818"/>
    <w:rsid w:val="4CC9133B"/>
    <w:rsid w:val="4D2646B1"/>
    <w:rsid w:val="4E543563"/>
    <w:rsid w:val="4F7F6CE0"/>
    <w:rsid w:val="50BC7753"/>
    <w:rsid w:val="56921B6A"/>
    <w:rsid w:val="58DE2219"/>
    <w:rsid w:val="593F3897"/>
    <w:rsid w:val="5C6B645D"/>
    <w:rsid w:val="5D382BE7"/>
    <w:rsid w:val="5DEE6DAA"/>
    <w:rsid w:val="5E484837"/>
    <w:rsid w:val="5E606702"/>
    <w:rsid w:val="5E843D1D"/>
    <w:rsid w:val="5F470E2F"/>
    <w:rsid w:val="64FF2692"/>
    <w:rsid w:val="65B14570"/>
    <w:rsid w:val="6631134F"/>
    <w:rsid w:val="68D511B8"/>
    <w:rsid w:val="6AAF4400"/>
    <w:rsid w:val="6CA65E33"/>
    <w:rsid w:val="6D5E5248"/>
    <w:rsid w:val="6D8E15BD"/>
    <w:rsid w:val="6DEE4D62"/>
    <w:rsid w:val="6EA7498F"/>
    <w:rsid w:val="71F238C8"/>
    <w:rsid w:val="726C71D4"/>
    <w:rsid w:val="76C84BF7"/>
    <w:rsid w:val="776C8B73"/>
    <w:rsid w:val="77C202CB"/>
    <w:rsid w:val="78D173E0"/>
    <w:rsid w:val="7A0E2437"/>
    <w:rsid w:val="7A374B97"/>
    <w:rsid w:val="7BF267D8"/>
    <w:rsid w:val="7D39684F"/>
    <w:rsid w:val="7D657264"/>
    <w:rsid w:val="7FB87EFF"/>
    <w:rsid w:val="7FD82D8C"/>
    <w:rsid w:val="9A5E12E9"/>
    <w:rsid w:val="BF9D96C6"/>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5">
    <w:name w:val="heading 1"/>
    <w:basedOn w:val="1"/>
    <w:next w:val="1"/>
    <w:qFormat/>
    <w:uiPriority w:val="99"/>
    <w:pPr>
      <w:keepNext/>
      <w:keepLines/>
      <w:spacing w:before="260" w:after="260"/>
      <w:outlineLvl w:val="0"/>
    </w:pPr>
    <w:rPr>
      <w:b/>
      <w:bCs/>
      <w:kern w:val="44"/>
      <w:sz w:val="24"/>
      <w:szCs w:val="44"/>
    </w:rPr>
  </w:style>
  <w:style w:type="paragraph" w:styleId="6">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2">
    <w:name w:val="heading 3"/>
    <w:basedOn w:val="1"/>
    <w:next w:val="3"/>
    <w:qFormat/>
    <w:uiPriority w:val="99"/>
    <w:pPr>
      <w:keepNext/>
      <w:keepLines/>
      <w:outlineLvl w:val="2"/>
    </w:pPr>
    <w:rPr>
      <w:rFonts w:ascii="仿宋_GB2312" w:hAnsi="仿宋_GB2312"/>
      <w:b/>
      <w:bCs/>
      <w:kern w:val="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ind w:firstLine="420"/>
    </w:pPr>
  </w:style>
  <w:style w:type="paragraph" w:styleId="4">
    <w:name w:val="toc 4"/>
    <w:basedOn w:val="1"/>
    <w:next w:val="1"/>
    <w:qFormat/>
    <w:uiPriority w:val="0"/>
    <w:pPr>
      <w:ind w:left="1260" w:leftChars="600"/>
    </w:pPr>
  </w:style>
  <w:style w:type="paragraph" w:styleId="7">
    <w:name w:val="annotation text"/>
    <w:basedOn w:val="1"/>
    <w:unhideWhenUsed/>
    <w:qFormat/>
    <w:uiPriority w:val="99"/>
    <w:rPr>
      <w:rFonts w:ascii="Calibri" w:hAnsi="Calibri" w:eastAsia="仿宋"/>
      <w:kern w:val="0"/>
      <w:sz w:val="24"/>
      <w:szCs w:val="20"/>
    </w:rPr>
  </w:style>
  <w:style w:type="paragraph" w:styleId="8">
    <w:name w:val="Body Text"/>
    <w:basedOn w:val="1"/>
    <w:next w:val="9"/>
    <w:qFormat/>
    <w:uiPriority w:val="0"/>
  </w:style>
  <w:style w:type="paragraph" w:styleId="9">
    <w:name w:val="Body Text 2"/>
    <w:basedOn w:val="1"/>
    <w:qFormat/>
    <w:uiPriority w:val="0"/>
    <w:pPr>
      <w:spacing w:after="120" w:line="480" w:lineRule="auto"/>
    </w:pPr>
    <w:rPr>
      <w:rFonts w:eastAsia="宋体"/>
    </w:rPr>
  </w:style>
  <w:style w:type="paragraph" w:styleId="10">
    <w:name w:val="Body Text Indent"/>
    <w:basedOn w:val="1"/>
    <w:qFormat/>
    <w:uiPriority w:val="0"/>
    <w:pPr>
      <w:ind w:firstLine="570"/>
    </w:pPr>
    <w:rPr>
      <w:rFonts w:eastAsia="宋体"/>
      <w:sz w:val="24"/>
    </w:rPr>
  </w:style>
  <w:style w:type="paragraph" w:styleId="11">
    <w:name w:val="Balloon Text"/>
    <w:basedOn w:val="1"/>
    <w:link w:val="33"/>
    <w:semiHidden/>
    <w:unhideWhenUsed/>
    <w:qFormat/>
    <w:uiPriority w:val="99"/>
    <w:pPr>
      <w:spacing w:line="240" w:lineRule="auto"/>
    </w:pPr>
    <w:rPr>
      <w:sz w:val="18"/>
      <w:szCs w:val="18"/>
    </w:rPr>
  </w:style>
  <w:style w:type="paragraph" w:styleId="12">
    <w:name w:val="footer"/>
    <w:basedOn w:val="1"/>
    <w:link w:val="25"/>
    <w:unhideWhenUsed/>
    <w:qFormat/>
    <w:uiPriority w:val="99"/>
    <w:pPr>
      <w:tabs>
        <w:tab w:val="center" w:pos="4153"/>
        <w:tab w:val="right" w:pos="8306"/>
      </w:tabs>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7">
    <w:name w:val="Body Text First Indent 2"/>
    <w:basedOn w:val="10"/>
    <w:qFormat/>
    <w:uiPriority w:val="0"/>
    <w:pPr>
      <w:ind w:firstLine="420"/>
    </w:p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22"/>
    <w:rPr>
      <w:b/>
    </w:rPr>
  </w:style>
  <w:style w:type="character" w:styleId="22">
    <w:name w:val="page number"/>
    <w:basedOn w:val="20"/>
    <w:qFormat/>
    <w:uiPriority w:val="0"/>
  </w:style>
  <w:style w:type="character" w:styleId="23">
    <w:name w:val="annotation reference"/>
    <w:basedOn w:val="20"/>
    <w:semiHidden/>
    <w:unhideWhenUsed/>
    <w:qFormat/>
    <w:uiPriority w:val="99"/>
    <w:rPr>
      <w:sz w:val="21"/>
      <w:szCs w:val="21"/>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paragraph" w:customStyle="1" w:styleId="26">
    <w:name w:val="闻政-正文二级标题"/>
    <w:basedOn w:val="6"/>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27">
    <w:name w:val="闻政-正文段落文字"/>
    <w:basedOn w:val="1"/>
    <w:qFormat/>
    <w:uiPriority w:val="3"/>
    <w:pPr>
      <w:spacing w:line="500" w:lineRule="exact"/>
      <w:ind w:firstLine="200"/>
    </w:pPr>
    <w:rPr>
      <w:kern w:val="0"/>
      <w:szCs w:val="28"/>
    </w:rPr>
  </w:style>
  <w:style w:type="paragraph" w:customStyle="1" w:styleId="28">
    <w:name w:val="闻政-正文一级标题"/>
    <w:basedOn w:val="2"/>
    <w:next w:val="27"/>
    <w:qFormat/>
    <w:uiPriority w:val="3"/>
    <w:pPr>
      <w:spacing w:before="120" w:after="60" w:line="500" w:lineRule="exact"/>
      <w:ind w:firstLine="0" w:firstLineChars="0"/>
      <w:outlineLvl w:val="0"/>
    </w:pPr>
    <w:rPr>
      <w:rFonts w:ascii="黑体" w:hAnsi="黑体" w:eastAsia="黑体"/>
      <w:sz w:val="32"/>
    </w:rPr>
  </w:style>
  <w:style w:type="paragraph" w:styleId="29">
    <w:name w:val="List Paragraph"/>
    <w:basedOn w:val="1"/>
    <w:qFormat/>
    <w:uiPriority w:val="34"/>
    <w:pPr>
      <w:ind w:firstLine="420"/>
    </w:pPr>
  </w:style>
  <w:style w:type="paragraph" w:customStyle="1" w:styleId="30">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3">
    <w:name w:val="批注框文本 Char"/>
    <w:basedOn w:val="20"/>
    <w:link w:val="11"/>
    <w:semiHidden/>
    <w:qFormat/>
    <w:uiPriority w:val="99"/>
    <w:rPr>
      <w:rFonts w:eastAsiaTheme="minorEastAsia"/>
      <w:kern w:val="2"/>
      <w:sz w:val="18"/>
      <w:szCs w:val="18"/>
    </w:rPr>
  </w:style>
  <w:style w:type="character" w:customStyle="1" w:styleId="34">
    <w:name w:val="cf01"/>
    <w:basedOn w:val="20"/>
    <w:qFormat/>
    <w:uiPriority w:val="0"/>
    <w:rPr>
      <w:rFonts w:ascii="微软雅黑" w:hAnsi="微软雅黑" w:eastAsia="微软雅黑" w:cs="微软雅黑"/>
      <w:sz w:val="22"/>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50</Pages>
  <Words>13017</Words>
  <Characters>14058</Characters>
  <Lines>41</Lines>
  <Paragraphs>11</Paragraphs>
  <TotalTime>9</TotalTime>
  <ScaleCrop>false</ScaleCrop>
  <LinksUpToDate>false</LinksUpToDate>
  <CharactersWithSpaces>14167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2020-09-23T23:41:00Z</dcterms:created>
  <dc:creator>Lenovo</dc:creator>
  <cp:lastModifiedBy>Administrator</cp:lastModifiedBy>
  <cp:lastPrinted>2025-08-13T03:37:00Z</cp:lastPrinted>
  <dcterms:modified xsi:type="dcterms:W3CDTF">2025-08-14T10:01:00Z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93D1AE7A83EA426EB3AF5E910328EEE9_13</vt:lpwstr>
  </property>
  <property fmtid="{D5CDD505-2E9C-101B-9397-08002B2CF9AE}" pid="4" name="KSOTemplateDocerSaveRecord">
    <vt:lpwstr>eyJoZGlkIjoiM2FiZDIzMjBhYjY3YjcwYmIxYWI1NjM4YzVmYjEyMDMiLCJ1c2VySWQiOiIzOTM3MjU3NjgifQ==</vt:lpwstr>
  </property>
</Properties>
</file>