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Times New Roman" w:hAnsi="Times New Roman" w:eastAsia="宋体" w:cs="宋体"/>
          <w:sz w:val="22"/>
          <w:szCs w:val="32"/>
          <w:lang w:val="en-US" w:eastAsia="zh-CN"/>
        </w:rPr>
      </w:pPr>
      <w:r>
        <w:rPr>
          <w:rFonts w:hint="eastAsia" w:ascii="Times New Roman" w:hAnsi="Times New Roman" w:eastAsia="宋体" w:cs="宋体"/>
          <w:sz w:val="22"/>
          <w:szCs w:val="32"/>
          <w:lang w:val="en-US" w:eastAsia="zh-CN"/>
        </w:rPr>
        <w:t>附件1</w:t>
      </w:r>
    </w:p>
    <w:tbl>
      <w:tblPr>
        <w:tblStyle w:val="3"/>
        <w:tblpPr w:leftFromText="180" w:rightFromText="180" w:vertAnchor="text" w:horzAnchor="page" w:tblpX="1551" w:tblpY="382"/>
        <w:tblOverlap w:val="never"/>
        <w:tblW w:w="143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1860"/>
        <w:gridCol w:w="2270"/>
        <w:gridCol w:w="4435"/>
        <w:gridCol w:w="1299"/>
        <w:gridCol w:w="2421"/>
        <w:gridCol w:w="750"/>
        <w:gridCol w:w="9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438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00" w:firstLineChars="200"/>
              <w:jc w:val="center"/>
              <w:textAlignment w:val="auto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0"/>
                <w:szCs w:val="40"/>
              </w:rPr>
              <w:t>巴楚县继续有效的规范性文件目录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文件类型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制定机关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文件名称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制定时间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文号/政府令号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状态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县发展</w:t>
            </w:r>
            <w:r>
              <w:rPr>
                <w:rFonts w:hint="eastAsia" w:ascii="Times New Roman" w:hAnsi="Times New Roman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改革委员会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关于印发《巴楚县政府投资项目管理办法》的通知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2022.7.30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巴政规〔2022〕3号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关于印发《巴楚县农村供水管理办法》的通知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2022.11.21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巴政规〔2022〕5号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县发展</w:t>
            </w:r>
            <w:r>
              <w:rPr>
                <w:rFonts w:hint="eastAsia" w:ascii="Times New Roman" w:hAnsi="Times New Roman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改革委员会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关于规范巴楚县普通住宅前期物业服务收费标准的通知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2022.5.13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巴发改规〔2022〕1号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县发展</w:t>
            </w:r>
            <w:r>
              <w:rPr>
                <w:rFonts w:hint="eastAsia" w:ascii="Times New Roman" w:hAnsi="Times New Roman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改革委员会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巴楚县机动车停放服务收费管理实施细则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2023.11.24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巴发改规〔2023〕2号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县发展</w:t>
            </w:r>
            <w:r>
              <w:rPr>
                <w:rFonts w:hint="eastAsia" w:ascii="Times New Roman" w:hAnsi="Times New Roman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改革委员会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关于调整巴楚县城镇供热价格的通知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2023.7.5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巴发改规〔2023〕1号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县卫健委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关于印发《巴楚县爱国卫生工作管理办法》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2024.10.12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巴政规〔2024〕6号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县发展</w:t>
            </w:r>
            <w:r>
              <w:rPr>
                <w:rFonts w:hint="eastAsia" w:ascii="Times New Roman" w:hAnsi="Times New Roman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改革委员会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《巴楚县城镇生活垃圾处理收费标准调整方案》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2024.9.18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巴发改规〔2024〕1号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《巴楚县农业水价综合改革精准补贴及节水奖励办法》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2025.8.21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巴政规〔2025〕1号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县教育局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《巴楚县义务教育阶段学校课后服务经费保障和管理办法》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2025.11.19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巴教规〔2025〕1号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</w:tbl>
    <w:p>
      <w:pPr>
        <w:bidi w:val="0"/>
        <w:jc w:val="left"/>
        <w:rPr>
          <w:rFonts w:hint="eastAsia" w:ascii="Times New Roman" w:hAnsi="Times New Roman" w:eastAsia="宋体" w:cs="宋体"/>
          <w:sz w:val="22"/>
          <w:lang w:val="en-US" w:eastAsia="zh-CN"/>
        </w:rPr>
      </w:pPr>
    </w:p>
    <w:p>
      <w:pPr>
        <w:bidi w:val="0"/>
        <w:jc w:val="left"/>
        <w:rPr>
          <w:rFonts w:hint="eastAsia" w:ascii="Times New Roman" w:hAnsi="Times New Roman" w:eastAsia="宋体" w:cs="宋体"/>
          <w:kern w:val="2"/>
          <w:sz w:val="22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宋体" w:cs="宋体"/>
          <w:sz w:val="22"/>
          <w:szCs w:val="32"/>
          <w:lang w:val="en-US" w:eastAsia="zh-CN"/>
        </w:rPr>
      </w:pPr>
    </w:p>
    <w:p>
      <w:pPr>
        <w:rPr>
          <w:rFonts w:hint="eastAsia" w:ascii="Times New Roman" w:hAnsi="Times New Roman" w:eastAsia="宋体" w:cs="宋体"/>
          <w:sz w:val="22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F489D"/>
    <w:rsid w:val="1BCB70C9"/>
    <w:rsid w:val="3EAB0813"/>
    <w:rsid w:val="424D0F36"/>
    <w:rsid w:val="5CF602AA"/>
    <w:rsid w:val="6FF9476A"/>
    <w:rsid w:val="BF7E8A32"/>
    <w:rsid w:val="FFEC60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Administrator</cp:lastModifiedBy>
  <dcterms:modified xsi:type="dcterms:W3CDTF">2026-10-28T05:31:01Z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