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kinsoku/>
        <w:wordWrap/>
        <w:overflowPunct/>
        <w:topLinePunct w:val="0"/>
        <w:bidi w:val="0"/>
        <w:adjustRightInd/>
        <w:snapToGrid/>
        <w:spacing w:line="560" w:lineRule="exact"/>
        <w:rPr>
          <w:rFonts w:hint="default" w:ascii="Times New Roman" w:hAnsi="Times New Roman" w:eastAsia="方正仿宋简体" w:cs="Times New Roman"/>
          <w:sz w:val="32"/>
          <w:szCs w:val="32"/>
        </w:rPr>
      </w:pPr>
      <w:r>
        <w:rPr>
          <w:rFonts w:hint="default" w:ascii="Times New Roman" w:hAnsi="Times New Roman" w:eastAsia="方正仿宋简体" w:cs="Times New Roman"/>
          <w:sz w:val="32"/>
          <w:szCs w:val="32"/>
        </w:rPr>
        <w:t>附件1</w:t>
      </w:r>
    </w:p>
    <w:p>
      <w:pPr>
        <w:keepNext w:val="0"/>
        <w:keepLines w:val="0"/>
        <w:pageBreakBefore w:val="0"/>
        <w:kinsoku/>
        <w:wordWrap/>
        <w:overflowPunct/>
        <w:topLinePunct w:val="0"/>
        <w:bidi w:val="0"/>
        <w:adjustRightInd/>
        <w:snapToGrid/>
        <w:spacing w:line="560" w:lineRule="exact"/>
        <w:jc w:val="center"/>
        <w:rPr>
          <w:rFonts w:hint="default" w:ascii="Times New Roman" w:hAnsi="Times New Roman" w:eastAsia="方正仿宋简体" w:cs="Times New Roman"/>
          <w:sz w:val="32"/>
          <w:szCs w:val="32"/>
        </w:rPr>
      </w:pPr>
      <w:bookmarkStart w:id="0" w:name="_GoBack"/>
      <w:r>
        <w:rPr>
          <w:rFonts w:hint="eastAsia" w:ascii="方正小标宋简体" w:hAnsi="方正小标宋简体" w:eastAsia="方正小标宋简体" w:cs="方正小标宋简体"/>
          <w:sz w:val="40"/>
          <w:szCs w:val="40"/>
          <w:lang w:val="en-US" w:eastAsia="zh-CN"/>
        </w:rPr>
        <w:t>巴楚县</w:t>
      </w:r>
      <w:r>
        <w:rPr>
          <w:rFonts w:hint="eastAsia" w:ascii="方正小标宋简体" w:hAnsi="方正小标宋简体" w:eastAsia="方正小标宋简体" w:cs="方正小标宋简体"/>
          <w:sz w:val="40"/>
          <w:szCs w:val="40"/>
        </w:rPr>
        <w:t>国有农用地基准地价内涵说明</w:t>
      </w:r>
    </w:p>
    <w:bookmarkEnd w:id="0"/>
    <w:p>
      <w:pPr>
        <w:keepNext w:val="0"/>
        <w:keepLines w:val="0"/>
        <w:pageBreakBefore w:val="0"/>
        <w:kinsoku/>
        <w:wordWrap/>
        <w:overflowPunct/>
        <w:topLinePunct w:val="0"/>
        <w:bidi w:val="0"/>
        <w:adjustRightInd/>
        <w:snapToGrid/>
        <w:spacing w:line="560" w:lineRule="exact"/>
        <w:ind w:firstLine="640" w:firstLineChars="200"/>
        <w:rPr>
          <w:rFonts w:hint="default" w:ascii="Times New Roman" w:hAnsi="Times New Roman" w:eastAsia="方正仿宋简体" w:cs="Times New Roman"/>
          <w:sz w:val="32"/>
          <w:szCs w:val="32"/>
        </w:rPr>
      </w:pPr>
    </w:p>
    <w:p>
      <w:pPr>
        <w:keepNext w:val="0"/>
        <w:keepLines w:val="0"/>
        <w:pageBreakBefore w:val="0"/>
        <w:kinsoku/>
        <w:wordWrap/>
        <w:overflowPunct/>
        <w:topLinePunct w:val="0"/>
        <w:bidi w:val="0"/>
        <w:adjustRightInd/>
        <w:snapToGrid/>
        <w:spacing w:line="560" w:lineRule="exact"/>
        <w:ind w:firstLine="640" w:firstLineChars="200"/>
        <w:rPr>
          <w:rFonts w:hint="default" w:ascii="方正黑体简体" w:hAnsi="方正黑体简体" w:eastAsia="方正黑体简体" w:cs="方正黑体简体"/>
          <w:sz w:val="32"/>
          <w:szCs w:val="32"/>
        </w:rPr>
      </w:pPr>
      <w:r>
        <w:rPr>
          <w:rFonts w:hint="default" w:ascii="方正黑体简体" w:hAnsi="方正黑体简体" w:eastAsia="方正黑体简体" w:cs="方正黑体简体"/>
          <w:sz w:val="32"/>
          <w:szCs w:val="32"/>
        </w:rPr>
        <w:t>一、基准地价概念</w:t>
      </w:r>
    </w:p>
    <w:p>
      <w:pPr>
        <w:keepNext w:val="0"/>
        <w:keepLines w:val="0"/>
        <w:pageBreakBefore w:val="0"/>
        <w:kinsoku/>
        <w:wordWrap/>
        <w:overflowPunct/>
        <w:topLinePunct w:val="0"/>
        <w:bidi w:val="0"/>
        <w:adjustRightInd/>
        <w:snapToGrid/>
        <w:spacing w:line="560" w:lineRule="exact"/>
        <w:ind w:firstLine="640" w:firstLineChars="200"/>
        <w:rPr>
          <w:rFonts w:hint="default" w:ascii="Times New Roman" w:hAnsi="Times New Roman" w:eastAsia="方正仿宋简体" w:cs="Times New Roman"/>
          <w:sz w:val="32"/>
          <w:szCs w:val="32"/>
        </w:rPr>
      </w:pPr>
      <w:r>
        <w:rPr>
          <w:rFonts w:hint="default" w:ascii="Times New Roman" w:hAnsi="Times New Roman" w:eastAsia="方正仿宋简体" w:cs="Times New Roman"/>
          <w:sz w:val="32"/>
          <w:szCs w:val="32"/>
        </w:rPr>
        <w:t>国有农用地基准地价是指</w:t>
      </w:r>
      <w:r>
        <w:rPr>
          <w:rFonts w:hint="default" w:ascii="Times New Roman" w:hAnsi="Times New Roman" w:eastAsia="方正仿宋简体" w:cs="Times New Roman"/>
          <w:sz w:val="32"/>
          <w:szCs w:val="32"/>
          <w:lang w:val="en-US" w:eastAsia="zh-CN"/>
        </w:rPr>
        <w:t>巴楚县</w:t>
      </w:r>
      <w:r>
        <w:rPr>
          <w:rFonts w:hint="default" w:ascii="Times New Roman" w:hAnsi="Times New Roman" w:eastAsia="方正仿宋简体" w:cs="Times New Roman"/>
          <w:sz w:val="32"/>
          <w:szCs w:val="32"/>
        </w:rPr>
        <w:t>人民政府根据需要，针对国有农用地不同级别或不同均质地域，按照不同利用类型，分别评估确定的某一估价期日的年平均承包费用标准。本次公布的基准地价为各级别国有农用地在设定基础设施条件和正常市场水平下的年平均承包费价格。</w:t>
      </w:r>
    </w:p>
    <w:p>
      <w:pPr>
        <w:keepNext w:val="0"/>
        <w:keepLines w:val="0"/>
        <w:pageBreakBefore w:val="0"/>
        <w:kinsoku/>
        <w:wordWrap/>
        <w:overflowPunct/>
        <w:topLinePunct w:val="0"/>
        <w:bidi w:val="0"/>
        <w:adjustRightInd/>
        <w:snapToGrid/>
        <w:spacing w:line="560" w:lineRule="exact"/>
        <w:ind w:firstLine="640" w:firstLineChars="200"/>
        <w:rPr>
          <w:rFonts w:hint="default" w:ascii="方正黑体简体" w:hAnsi="方正黑体简体" w:eastAsia="方正黑体简体" w:cs="方正黑体简体"/>
          <w:sz w:val="32"/>
          <w:szCs w:val="32"/>
        </w:rPr>
      </w:pPr>
      <w:r>
        <w:rPr>
          <w:rFonts w:hint="default" w:ascii="方正黑体简体" w:hAnsi="方正黑体简体" w:eastAsia="方正黑体简体" w:cs="方正黑体简体"/>
          <w:sz w:val="32"/>
          <w:szCs w:val="32"/>
        </w:rPr>
        <w:t>二、基准地价内涵要素</w:t>
      </w:r>
    </w:p>
    <w:p>
      <w:pPr>
        <w:keepNext w:val="0"/>
        <w:keepLines w:val="0"/>
        <w:pageBreakBefore w:val="0"/>
        <w:kinsoku/>
        <w:wordWrap/>
        <w:overflowPunct/>
        <w:topLinePunct w:val="0"/>
        <w:bidi w:val="0"/>
        <w:adjustRightInd/>
        <w:snapToGrid/>
        <w:spacing w:line="560" w:lineRule="exact"/>
        <w:ind w:firstLine="640" w:firstLineChars="200"/>
        <w:rPr>
          <w:rFonts w:hint="default" w:ascii="方正楷体简体" w:hAnsi="方正楷体简体" w:eastAsia="方正楷体简体" w:cs="方正楷体简体"/>
          <w:b w:val="0"/>
          <w:bCs w:val="0"/>
          <w:sz w:val="32"/>
          <w:szCs w:val="32"/>
        </w:rPr>
      </w:pPr>
      <w:r>
        <w:rPr>
          <w:rFonts w:hint="default" w:ascii="方正楷体简体" w:hAnsi="方正楷体简体" w:eastAsia="方正楷体简体" w:cs="方正楷体简体"/>
          <w:b w:val="0"/>
          <w:bCs w:val="0"/>
          <w:sz w:val="32"/>
          <w:szCs w:val="32"/>
        </w:rPr>
        <w:t>（一）估价期日</w:t>
      </w:r>
    </w:p>
    <w:p>
      <w:pPr>
        <w:keepNext w:val="0"/>
        <w:keepLines w:val="0"/>
        <w:pageBreakBefore w:val="0"/>
        <w:kinsoku/>
        <w:wordWrap/>
        <w:overflowPunct/>
        <w:topLinePunct w:val="0"/>
        <w:bidi w:val="0"/>
        <w:adjustRightInd/>
        <w:snapToGrid/>
        <w:spacing w:line="560" w:lineRule="exact"/>
        <w:ind w:firstLine="640" w:firstLineChars="200"/>
        <w:rPr>
          <w:rFonts w:hint="default" w:ascii="Times New Roman" w:hAnsi="Times New Roman" w:eastAsia="方正仿宋简体" w:cs="Times New Roman"/>
          <w:sz w:val="32"/>
          <w:szCs w:val="32"/>
        </w:rPr>
      </w:pPr>
      <w:r>
        <w:rPr>
          <w:rFonts w:hint="default" w:ascii="Times New Roman" w:hAnsi="Times New Roman" w:eastAsia="方正仿宋简体" w:cs="Times New Roman"/>
          <w:sz w:val="32"/>
          <w:szCs w:val="32"/>
        </w:rPr>
        <w:t>本次基准地价的估价期日为2026年</w:t>
      </w:r>
      <w:r>
        <w:rPr>
          <w:rFonts w:hint="default" w:ascii="Times New Roman" w:hAnsi="Times New Roman" w:eastAsia="方正仿宋简体" w:cs="Times New Roman"/>
          <w:sz w:val="32"/>
          <w:szCs w:val="32"/>
          <w:lang w:val="en-US" w:eastAsia="zh-CN"/>
        </w:rPr>
        <w:t>6</w:t>
      </w:r>
      <w:r>
        <w:rPr>
          <w:rFonts w:hint="default" w:ascii="Times New Roman" w:hAnsi="Times New Roman" w:eastAsia="方正仿宋简体" w:cs="Times New Roman"/>
          <w:sz w:val="32"/>
          <w:szCs w:val="32"/>
        </w:rPr>
        <w:t>月30日。</w:t>
      </w:r>
    </w:p>
    <w:p>
      <w:pPr>
        <w:keepNext w:val="0"/>
        <w:keepLines w:val="0"/>
        <w:pageBreakBefore w:val="0"/>
        <w:kinsoku/>
        <w:wordWrap/>
        <w:overflowPunct/>
        <w:topLinePunct w:val="0"/>
        <w:bidi w:val="0"/>
        <w:adjustRightInd/>
        <w:snapToGrid/>
        <w:spacing w:line="560" w:lineRule="exact"/>
        <w:ind w:firstLine="640" w:firstLineChars="200"/>
        <w:rPr>
          <w:rFonts w:hint="default" w:ascii="方正楷体简体" w:hAnsi="方正楷体简体" w:eastAsia="方正楷体简体" w:cs="方正楷体简体"/>
          <w:b w:val="0"/>
          <w:bCs w:val="0"/>
          <w:sz w:val="32"/>
          <w:szCs w:val="32"/>
        </w:rPr>
      </w:pPr>
      <w:r>
        <w:rPr>
          <w:rFonts w:hint="default" w:ascii="方正楷体简体" w:hAnsi="方正楷体简体" w:eastAsia="方正楷体简体" w:cs="方正楷体简体"/>
          <w:b w:val="0"/>
          <w:bCs w:val="0"/>
          <w:sz w:val="32"/>
          <w:szCs w:val="32"/>
        </w:rPr>
        <w:t>（二）土地权利类型</w:t>
      </w:r>
    </w:p>
    <w:p>
      <w:pPr>
        <w:keepNext w:val="0"/>
        <w:keepLines w:val="0"/>
        <w:pageBreakBefore w:val="0"/>
        <w:kinsoku/>
        <w:wordWrap/>
        <w:overflowPunct/>
        <w:topLinePunct w:val="0"/>
        <w:bidi w:val="0"/>
        <w:adjustRightInd/>
        <w:snapToGrid/>
        <w:spacing w:line="560" w:lineRule="exact"/>
        <w:ind w:firstLine="640" w:firstLineChars="200"/>
        <w:rPr>
          <w:rFonts w:hint="default" w:ascii="Times New Roman" w:hAnsi="Times New Roman" w:eastAsia="方正仿宋简体" w:cs="Times New Roman"/>
          <w:sz w:val="32"/>
          <w:szCs w:val="32"/>
        </w:rPr>
      </w:pPr>
      <w:r>
        <w:rPr>
          <w:rFonts w:hint="default" w:ascii="Times New Roman" w:hAnsi="Times New Roman" w:eastAsia="方正仿宋简体" w:cs="Times New Roman"/>
          <w:sz w:val="32"/>
          <w:szCs w:val="32"/>
        </w:rPr>
        <w:t>本次基准地价对应的权利类型为国有农用地承包经营权。</w:t>
      </w:r>
    </w:p>
    <w:p>
      <w:pPr>
        <w:keepNext w:val="0"/>
        <w:keepLines w:val="0"/>
        <w:pageBreakBefore w:val="0"/>
        <w:kinsoku/>
        <w:wordWrap/>
        <w:overflowPunct/>
        <w:topLinePunct w:val="0"/>
        <w:bidi w:val="0"/>
        <w:adjustRightInd/>
        <w:snapToGrid/>
        <w:spacing w:line="560" w:lineRule="exact"/>
        <w:ind w:firstLine="640" w:firstLineChars="200"/>
        <w:rPr>
          <w:rFonts w:hint="default" w:ascii="方正楷体简体" w:hAnsi="方正楷体简体" w:eastAsia="方正楷体简体" w:cs="方正楷体简体"/>
          <w:b w:val="0"/>
          <w:bCs w:val="0"/>
          <w:sz w:val="32"/>
          <w:szCs w:val="32"/>
        </w:rPr>
      </w:pPr>
      <w:r>
        <w:rPr>
          <w:rFonts w:hint="default" w:ascii="方正楷体简体" w:hAnsi="方正楷体简体" w:eastAsia="方正楷体简体" w:cs="方正楷体简体"/>
          <w:b w:val="0"/>
          <w:bCs w:val="0"/>
          <w:sz w:val="32"/>
          <w:szCs w:val="32"/>
        </w:rPr>
        <w:t>（三）价格类型</w:t>
      </w:r>
    </w:p>
    <w:p>
      <w:pPr>
        <w:keepNext w:val="0"/>
        <w:keepLines w:val="0"/>
        <w:pageBreakBefore w:val="0"/>
        <w:kinsoku/>
        <w:wordWrap/>
        <w:overflowPunct/>
        <w:topLinePunct w:val="0"/>
        <w:bidi w:val="0"/>
        <w:adjustRightInd/>
        <w:snapToGrid/>
        <w:spacing w:line="560" w:lineRule="exact"/>
        <w:ind w:firstLine="640" w:firstLineChars="200"/>
        <w:rPr>
          <w:rFonts w:hint="default" w:ascii="Times New Roman" w:hAnsi="Times New Roman" w:eastAsia="方正仿宋简体" w:cs="Times New Roman"/>
          <w:sz w:val="32"/>
          <w:szCs w:val="32"/>
        </w:rPr>
      </w:pPr>
      <w:r>
        <w:rPr>
          <w:rFonts w:hint="default" w:ascii="Times New Roman" w:hAnsi="Times New Roman" w:eastAsia="方正仿宋简体" w:cs="Times New Roman"/>
          <w:sz w:val="32"/>
          <w:szCs w:val="32"/>
        </w:rPr>
        <w:t>本次基准地价的价格类型为年承包费价格，即每年每亩的承包费用标准。</w:t>
      </w:r>
    </w:p>
    <w:p>
      <w:pPr>
        <w:keepNext w:val="0"/>
        <w:keepLines w:val="0"/>
        <w:pageBreakBefore w:val="0"/>
        <w:kinsoku/>
        <w:wordWrap/>
        <w:overflowPunct/>
        <w:topLinePunct w:val="0"/>
        <w:bidi w:val="0"/>
        <w:adjustRightInd/>
        <w:snapToGrid/>
        <w:spacing w:line="560" w:lineRule="exact"/>
        <w:ind w:firstLine="640" w:firstLineChars="200"/>
        <w:rPr>
          <w:rFonts w:hint="default" w:ascii="方正楷体简体" w:hAnsi="方正楷体简体" w:eastAsia="方正楷体简体" w:cs="方正楷体简体"/>
          <w:b w:val="0"/>
          <w:bCs w:val="0"/>
          <w:sz w:val="32"/>
          <w:szCs w:val="32"/>
        </w:rPr>
      </w:pPr>
      <w:r>
        <w:rPr>
          <w:rFonts w:hint="default" w:ascii="方正楷体简体" w:hAnsi="方正楷体简体" w:eastAsia="方正楷体简体" w:cs="方正楷体简体"/>
          <w:b w:val="0"/>
          <w:bCs w:val="0"/>
          <w:sz w:val="32"/>
          <w:szCs w:val="32"/>
        </w:rPr>
        <w:t>（四）用地类型</w:t>
      </w:r>
    </w:p>
    <w:p>
      <w:pPr>
        <w:keepNext w:val="0"/>
        <w:keepLines w:val="0"/>
        <w:pageBreakBefore w:val="0"/>
        <w:kinsoku/>
        <w:wordWrap/>
        <w:overflowPunct/>
        <w:topLinePunct w:val="0"/>
        <w:bidi w:val="0"/>
        <w:adjustRightInd/>
        <w:snapToGrid/>
        <w:spacing w:line="560" w:lineRule="exact"/>
        <w:ind w:firstLine="640" w:firstLineChars="200"/>
        <w:rPr>
          <w:rFonts w:hint="default" w:ascii="Times New Roman" w:hAnsi="Times New Roman" w:eastAsia="方正仿宋简体" w:cs="Times New Roman"/>
          <w:sz w:val="32"/>
          <w:szCs w:val="32"/>
        </w:rPr>
      </w:pPr>
      <w:r>
        <w:rPr>
          <w:rFonts w:hint="default" w:ascii="Times New Roman" w:hAnsi="Times New Roman" w:eastAsia="方正仿宋简体" w:cs="Times New Roman"/>
          <w:sz w:val="32"/>
          <w:szCs w:val="32"/>
        </w:rPr>
        <w:t>本次基准地价覆盖的用地类型包括：耕地、园地、林地、草地和设施农用地</w:t>
      </w:r>
    </w:p>
    <w:p>
      <w:pPr>
        <w:keepNext w:val="0"/>
        <w:keepLines w:val="0"/>
        <w:pageBreakBefore w:val="0"/>
        <w:kinsoku/>
        <w:wordWrap/>
        <w:overflowPunct/>
        <w:topLinePunct w:val="0"/>
        <w:bidi w:val="0"/>
        <w:adjustRightInd/>
        <w:snapToGrid/>
        <w:spacing w:line="560" w:lineRule="exact"/>
        <w:ind w:firstLine="640" w:firstLineChars="200"/>
        <w:rPr>
          <w:rFonts w:hint="default" w:ascii="方正楷体简体" w:hAnsi="方正楷体简体" w:eastAsia="方正楷体简体" w:cs="方正楷体简体"/>
          <w:b w:val="0"/>
          <w:bCs w:val="0"/>
          <w:sz w:val="32"/>
          <w:szCs w:val="32"/>
        </w:rPr>
      </w:pPr>
      <w:r>
        <w:rPr>
          <w:rFonts w:hint="default" w:ascii="方正楷体简体" w:hAnsi="方正楷体简体" w:eastAsia="方正楷体简体" w:cs="方正楷体简体"/>
          <w:b w:val="0"/>
          <w:bCs w:val="0"/>
          <w:sz w:val="32"/>
          <w:szCs w:val="32"/>
        </w:rPr>
        <w:t>（五）基础设施条件</w:t>
      </w:r>
    </w:p>
    <w:p>
      <w:pPr>
        <w:keepNext w:val="0"/>
        <w:keepLines w:val="0"/>
        <w:pageBreakBefore w:val="0"/>
        <w:kinsoku/>
        <w:wordWrap/>
        <w:overflowPunct/>
        <w:topLinePunct w:val="0"/>
        <w:bidi w:val="0"/>
        <w:adjustRightInd/>
        <w:snapToGrid/>
        <w:spacing w:line="560" w:lineRule="exact"/>
        <w:ind w:firstLine="640" w:firstLineChars="200"/>
        <w:rPr>
          <w:rFonts w:hint="default" w:ascii="Times New Roman" w:hAnsi="Times New Roman" w:eastAsia="方正仿宋简体" w:cs="Times New Roman"/>
          <w:sz w:val="32"/>
          <w:szCs w:val="32"/>
        </w:rPr>
      </w:pPr>
      <w:r>
        <w:rPr>
          <w:rFonts w:hint="default" w:ascii="Times New Roman" w:hAnsi="Times New Roman" w:eastAsia="方正仿宋简体" w:cs="Times New Roman"/>
          <w:sz w:val="32"/>
          <w:szCs w:val="32"/>
        </w:rPr>
        <w:t>各用地类型的基础设施条件设定如下：</w:t>
      </w:r>
    </w:p>
    <w:p>
      <w:pPr>
        <w:keepNext w:val="0"/>
        <w:keepLines w:val="0"/>
        <w:pageBreakBefore w:val="0"/>
        <w:kinsoku/>
        <w:wordWrap/>
        <w:overflowPunct/>
        <w:topLinePunct w:val="0"/>
        <w:bidi w:val="0"/>
        <w:adjustRightInd/>
        <w:snapToGrid/>
        <w:spacing w:line="560" w:lineRule="exact"/>
        <w:ind w:firstLine="640" w:firstLineChars="200"/>
        <w:rPr>
          <w:rFonts w:hint="default" w:ascii="Times New Roman" w:hAnsi="Times New Roman" w:eastAsia="方正仿宋简体" w:cs="Times New Roman"/>
          <w:sz w:val="32"/>
          <w:szCs w:val="32"/>
        </w:rPr>
      </w:pPr>
      <w:r>
        <w:rPr>
          <w:rFonts w:hint="default" w:ascii="Times New Roman" w:hAnsi="Times New Roman" w:eastAsia="方正仿宋简体" w:cs="Times New Roman"/>
          <w:sz w:val="32"/>
          <w:szCs w:val="32"/>
        </w:rPr>
        <w:t>耕地：宗地红线外通路，有正常灌溉设施，农田道路、防护林、桥、涵、闸等基础设施基本配套，条田平整，耕作层土壤熟化。</w:t>
      </w:r>
    </w:p>
    <w:p>
      <w:pPr>
        <w:keepNext w:val="0"/>
        <w:keepLines w:val="0"/>
        <w:pageBreakBefore w:val="0"/>
        <w:kinsoku/>
        <w:wordWrap/>
        <w:overflowPunct/>
        <w:topLinePunct w:val="0"/>
        <w:bidi w:val="0"/>
        <w:adjustRightInd/>
        <w:snapToGrid/>
        <w:spacing w:line="560" w:lineRule="exact"/>
        <w:ind w:firstLine="640" w:firstLineChars="200"/>
        <w:rPr>
          <w:rFonts w:hint="default" w:ascii="Times New Roman" w:hAnsi="Times New Roman" w:eastAsia="方正仿宋简体" w:cs="Times New Roman"/>
          <w:sz w:val="32"/>
          <w:szCs w:val="32"/>
        </w:rPr>
      </w:pPr>
      <w:r>
        <w:rPr>
          <w:rFonts w:hint="default" w:ascii="Times New Roman" w:hAnsi="Times New Roman" w:eastAsia="方正仿宋简体" w:cs="Times New Roman"/>
          <w:sz w:val="32"/>
          <w:szCs w:val="32"/>
        </w:rPr>
        <w:t>园地：宗地外道路通达且有水源保障，宗地内土地较平整且有基本的排水与灌溉设施。</w:t>
      </w:r>
    </w:p>
    <w:p>
      <w:pPr>
        <w:keepNext w:val="0"/>
        <w:keepLines w:val="0"/>
        <w:pageBreakBefore w:val="0"/>
        <w:kinsoku/>
        <w:wordWrap/>
        <w:overflowPunct/>
        <w:topLinePunct w:val="0"/>
        <w:bidi w:val="0"/>
        <w:adjustRightInd/>
        <w:snapToGrid/>
        <w:spacing w:line="560" w:lineRule="exact"/>
        <w:ind w:firstLine="640" w:firstLineChars="200"/>
        <w:rPr>
          <w:rFonts w:hint="default" w:ascii="Times New Roman" w:hAnsi="Times New Roman" w:eastAsia="方正仿宋简体" w:cs="Times New Roman"/>
          <w:sz w:val="32"/>
          <w:szCs w:val="32"/>
        </w:rPr>
      </w:pPr>
      <w:r>
        <w:rPr>
          <w:rFonts w:hint="default" w:ascii="Times New Roman" w:hAnsi="Times New Roman" w:eastAsia="方正仿宋简体" w:cs="Times New Roman"/>
          <w:sz w:val="32"/>
          <w:szCs w:val="32"/>
        </w:rPr>
        <w:t>林地：宗地外通路，宗地内有集材道路。</w:t>
      </w:r>
    </w:p>
    <w:p>
      <w:pPr>
        <w:keepNext w:val="0"/>
        <w:keepLines w:val="0"/>
        <w:pageBreakBefore w:val="0"/>
        <w:kinsoku/>
        <w:wordWrap/>
        <w:overflowPunct/>
        <w:topLinePunct w:val="0"/>
        <w:bidi w:val="0"/>
        <w:adjustRightInd/>
        <w:snapToGrid/>
        <w:spacing w:line="560" w:lineRule="exact"/>
        <w:ind w:firstLine="640" w:firstLineChars="200"/>
        <w:rPr>
          <w:rFonts w:hint="default" w:ascii="Times New Roman" w:hAnsi="Times New Roman" w:eastAsia="方正仿宋简体" w:cs="Times New Roman"/>
          <w:sz w:val="32"/>
          <w:szCs w:val="32"/>
        </w:rPr>
      </w:pPr>
      <w:r>
        <w:rPr>
          <w:rFonts w:hint="default" w:ascii="Times New Roman" w:hAnsi="Times New Roman" w:eastAsia="方正仿宋简体" w:cs="Times New Roman"/>
          <w:sz w:val="32"/>
          <w:szCs w:val="32"/>
        </w:rPr>
        <w:t>草地：宗地外通路，有基本的饮水水源保障。</w:t>
      </w:r>
    </w:p>
    <w:p>
      <w:pPr>
        <w:keepNext w:val="0"/>
        <w:keepLines w:val="0"/>
        <w:pageBreakBefore w:val="0"/>
        <w:kinsoku/>
        <w:wordWrap/>
        <w:overflowPunct/>
        <w:topLinePunct w:val="0"/>
        <w:bidi w:val="0"/>
        <w:adjustRightInd/>
        <w:snapToGrid/>
        <w:spacing w:line="560" w:lineRule="exact"/>
        <w:ind w:firstLine="640" w:firstLineChars="200"/>
        <w:rPr>
          <w:rFonts w:hint="default" w:ascii="Times New Roman" w:hAnsi="Times New Roman" w:eastAsia="方正仿宋简体" w:cs="Times New Roman"/>
          <w:sz w:val="32"/>
          <w:szCs w:val="32"/>
        </w:rPr>
      </w:pPr>
      <w:r>
        <w:rPr>
          <w:rFonts w:hint="default" w:ascii="Times New Roman" w:hAnsi="Times New Roman" w:eastAsia="方正仿宋简体" w:cs="Times New Roman"/>
          <w:sz w:val="32"/>
          <w:szCs w:val="32"/>
        </w:rPr>
        <w:t>设施农用地：宗地外道路通达且有水源保障，宗地内土地较平整且有基本的排水与灌溉设施。</w:t>
      </w:r>
    </w:p>
    <w:p>
      <w:pPr>
        <w:keepNext w:val="0"/>
        <w:keepLines w:val="0"/>
        <w:pageBreakBefore w:val="0"/>
        <w:kinsoku/>
        <w:wordWrap/>
        <w:overflowPunct/>
        <w:topLinePunct w:val="0"/>
        <w:bidi w:val="0"/>
        <w:adjustRightInd/>
        <w:snapToGrid/>
        <w:spacing w:line="560" w:lineRule="exact"/>
        <w:ind w:firstLine="640" w:firstLineChars="200"/>
        <w:rPr>
          <w:rFonts w:hint="default" w:ascii="方正楷体简体" w:hAnsi="方正楷体简体" w:eastAsia="方正楷体简体" w:cs="方正楷体简体"/>
          <w:b w:val="0"/>
          <w:bCs w:val="0"/>
          <w:sz w:val="32"/>
          <w:szCs w:val="32"/>
        </w:rPr>
      </w:pPr>
      <w:r>
        <w:rPr>
          <w:rFonts w:hint="default" w:ascii="方正楷体简体" w:hAnsi="方正楷体简体" w:eastAsia="方正楷体简体" w:cs="方正楷体简体"/>
          <w:b w:val="0"/>
          <w:bCs w:val="0"/>
          <w:sz w:val="32"/>
          <w:szCs w:val="32"/>
        </w:rPr>
        <w:t>（六）价格构成</w:t>
      </w:r>
    </w:p>
    <w:p>
      <w:pPr>
        <w:keepNext w:val="0"/>
        <w:keepLines w:val="0"/>
        <w:pageBreakBefore w:val="0"/>
        <w:kinsoku/>
        <w:wordWrap/>
        <w:overflowPunct/>
        <w:topLinePunct w:val="0"/>
        <w:bidi w:val="0"/>
        <w:adjustRightInd/>
        <w:snapToGrid/>
        <w:spacing w:line="560" w:lineRule="exact"/>
        <w:ind w:firstLine="640" w:firstLineChars="200"/>
        <w:rPr>
          <w:rFonts w:hint="default" w:ascii="Times New Roman" w:hAnsi="Times New Roman" w:eastAsia="方正仿宋简体" w:cs="Times New Roman"/>
          <w:sz w:val="32"/>
          <w:szCs w:val="32"/>
        </w:rPr>
      </w:pPr>
      <w:r>
        <w:rPr>
          <w:rFonts w:hint="default" w:ascii="Times New Roman" w:hAnsi="Times New Roman" w:eastAsia="方正仿宋简体" w:cs="Times New Roman"/>
          <w:sz w:val="32"/>
          <w:szCs w:val="32"/>
        </w:rPr>
        <w:t>本次基准地价为国有农用地承包经营权年度承包费平均价格，不含地上附着物价值（林地除外，林地基准地价包含地上附着物和定着物价值）。</w:t>
      </w:r>
    </w:p>
    <w:p>
      <w:pPr>
        <w:keepNext w:val="0"/>
        <w:keepLines w:val="0"/>
        <w:pageBreakBefore w:val="0"/>
        <w:kinsoku/>
        <w:wordWrap/>
        <w:overflowPunct/>
        <w:topLinePunct w:val="0"/>
        <w:bidi w:val="0"/>
        <w:adjustRightInd/>
        <w:snapToGrid/>
        <w:spacing w:line="560" w:lineRule="exact"/>
        <w:ind w:firstLine="640" w:firstLineChars="200"/>
        <w:rPr>
          <w:rFonts w:hint="default" w:ascii="方正楷体简体" w:hAnsi="方正楷体简体" w:eastAsia="方正楷体简体" w:cs="方正楷体简体"/>
          <w:b w:val="0"/>
          <w:bCs w:val="0"/>
          <w:sz w:val="32"/>
          <w:szCs w:val="32"/>
        </w:rPr>
      </w:pPr>
      <w:r>
        <w:rPr>
          <w:rFonts w:hint="default" w:ascii="方正楷体简体" w:hAnsi="方正楷体简体" w:eastAsia="方正楷体简体" w:cs="方正楷体简体"/>
          <w:b w:val="0"/>
          <w:bCs w:val="0"/>
          <w:sz w:val="32"/>
          <w:szCs w:val="32"/>
        </w:rPr>
        <w:t>（七）利用类型</w:t>
      </w:r>
    </w:p>
    <w:p>
      <w:pPr>
        <w:keepNext w:val="0"/>
        <w:keepLines w:val="0"/>
        <w:pageBreakBefore w:val="0"/>
        <w:kinsoku/>
        <w:wordWrap/>
        <w:overflowPunct/>
        <w:topLinePunct w:val="0"/>
        <w:bidi w:val="0"/>
        <w:adjustRightInd/>
        <w:snapToGrid/>
        <w:spacing w:line="560" w:lineRule="exact"/>
        <w:ind w:firstLine="640" w:firstLineChars="200"/>
        <w:rPr>
          <w:rFonts w:hint="default" w:ascii="Times New Roman" w:hAnsi="Times New Roman" w:eastAsia="方正仿宋简体" w:cs="Times New Roman"/>
          <w:sz w:val="32"/>
          <w:szCs w:val="32"/>
        </w:rPr>
      </w:pPr>
      <w:r>
        <w:rPr>
          <w:rFonts w:hint="default" w:ascii="Times New Roman" w:hAnsi="Times New Roman" w:eastAsia="方正仿宋简体" w:cs="Times New Roman"/>
          <w:sz w:val="32"/>
          <w:szCs w:val="32"/>
        </w:rPr>
        <w:t>本次基准地价按正常市场水平（平均利用水平和生产力水平）及平均基础设施条件下评估。</w:t>
      </w:r>
    </w:p>
    <w:p>
      <w:pPr>
        <w:keepNext w:val="0"/>
        <w:keepLines w:val="0"/>
        <w:pageBreakBefore w:val="0"/>
        <w:kinsoku/>
        <w:wordWrap/>
        <w:overflowPunct/>
        <w:topLinePunct w:val="0"/>
        <w:bidi w:val="0"/>
        <w:adjustRightInd/>
        <w:snapToGrid/>
        <w:spacing w:line="560" w:lineRule="exact"/>
        <w:ind w:firstLine="640" w:firstLineChars="200"/>
        <w:rPr>
          <w:rFonts w:hint="default" w:ascii="方正黑体简体" w:hAnsi="方正黑体简体" w:eastAsia="方正黑体简体" w:cs="方正黑体简体"/>
          <w:sz w:val="32"/>
          <w:szCs w:val="32"/>
        </w:rPr>
      </w:pPr>
      <w:r>
        <w:rPr>
          <w:rFonts w:hint="default" w:ascii="方正黑体简体" w:hAnsi="方正黑体简体" w:eastAsia="方正黑体简体" w:cs="方正黑体简体"/>
          <w:sz w:val="32"/>
          <w:szCs w:val="32"/>
        </w:rPr>
        <w:t>三、基准地价应用说明</w:t>
      </w:r>
    </w:p>
    <w:p>
      <w:pPr>
        <w:keepNext w:val="0"/>
        <w:keepLines w:val="0"/>
        <w:pageBreakBefore w:val="0"/>
        <w:kinsoku/>
        <w:wordWrap/>
        <w:overflowPunct/>
        <w:topLinePunct w:val="0"/>
        <w:bidi w:val="0"/>
        <w:adjustRightInd/>
        <w:snapToGrid/>
        <w:spacing w:line="560" w:lineRule="exact"/>
        <w:ind w:firstLine="640" w:firstLineChars="200"/>
        <w:rPr>
          <w:rFonts w:hint="default" w:ascii="Times New Roman" w:hAnsi="Times New Roman" w:eastAsia="方正仿宋简体" w:cs="Times New Roman"/>
          <w:sz w:val="32"/>
          <w:szCs w:val="32"/>
        </w:rPr>
      </w:pPr>
      <w:r>
        <w:rPr>
          <w:rFonts w:hint="default" w:ascii="Times New Roman" w:hAnsi="Times New Roman" w:eastAsia="方正仿宋简体" w:cs="Times New Roman"/>
          <w:sz w:val="32"/>
          <w:szCs w:val="32"/>
        </w:rPr>
        <w:t>（一）本次公布的基准地价为各级别土地的平均价格，具体地块的承包价格可在基准地价基础上，结合地块的个别因素（如水源条件、交通便利度、土壤肥力、地块平整度等）进行修正确定。</w:t>
      </w:r>
    </w:p>
    <w:p>
      <w:pPr>
        <w:keepNext w:val="0"/>
        <w:keepLines w:val="0"/>
        <w:pageBreakBefore w:val="0"/>
        <w:kinsoku/>
        <w:wordWrap/>
        <w:overflowPunct/>
        <w:topLinePunct w:val="0"/>
        <w:bidi w:val="0"/>
        <w:adjustRightInd/>
        <w:snapToGrid/>
        <w:spacing w:line="560" w:lineRule="exact"/>
        <w:ind w:firstLine="640" w:firstLineChars="200"/>
        <w:rPr>
          <w:rFonts w:hint="default" w:ascii="Times New Roman" w:hAnsi="Times New Roman" w:eastAsia="方正仿宋简体" w:cs="Times New Roman"/>
          <w:sz w:val="32"/>
          <w:szCs w:val="32"/>
        </w:rPr>
      </w:pPr>
      <w:r>
        <w:rPr>
          <w:rFonts w:hint="default" w:ascii="Times New Roman" w:hAnsi="Times New Roman" w:eastAsia="方正仿宋简体" w:cs="Times New Roman"/>
          <w:sz w:val="32"/>
          <w:szCs w:val="32"/>
        </w:rPr>
        <w:t>（二）已实施高标准农田建设项目的地块，按照本公告第四条规定，统一执行一级地基准地价标准。</w:t>
      </w:r>
    </w:p>
    <w:p>
      <w:pPr>
        <w:keepNext w:val="0"/>
        <w:keepLines w:val="0"/>
        <w:pageBreakBefore w:val="0"/>
        <w:kinsoku/>
        <w:wordWrap/>
        <w:overflowPunct/>
        <w:topLinePunct w:val="0"/>
        <w:bidi w:val="0"/>
        <w:adjustRightInd/>
        <w:snapToGrid/>
        <w:spacing w:line="560" w:lineRule="exact"/>
        <w:ind w:firstLine="640" w:firstLineChars="200"/>
        <w:rPr>
          <w:rFonts w:hint="default" w:ascii="Times New Roman" w:hAnsi="Times New Roman" w:eastAsia="方正仿宋简体" w:cs="Times New Roman"/>
          <w:sz w:val="32"/>
          <w:szCs w:val="32"/>
        </w:rPr>
      </w:pPr>
      <w:r>
        <w:rPr>
          <w:rFonts w:hint="default" w:ascii="Times New Roman" w:hAnsi="Times New Roman" w:eastAsia="方正仿宋简体" w:cs="Times New Roman"/>
          <w:sz w:val="32"/>
          <w:szCs w:val="32"/>
        </w:rPr>
        <w:t>（三）存量合同按照本公告第五条规定，在过渡期内逐年调整，逐步达到基准地价标准。</w:t>
      </w:r>
    </w:p>
    <w:p>
      <w:pPr>
        <w:keepNext w:val="0"/>
        <w:keepLines w:val="0"/>
        <w:pageBreakBefore w:val="0"/>
        <w:kinsoku/>
        <w:wordWrap/>
        <w:overflowPunct/>
        <w:topLinePunct w:val="0"/>
        <w:bidi w:val="0"/>
        <w:adjustRightInd/>
        <w:snapToGrid/>
        <w:spacing w:line="560" w:lineRule="exact"/>
        <w:ind w:firstLine="640" w:firstLineChars="200"/>
      </w:pPr>
      <w:r>
        <w:rPr>
          <w:rFonts w:hint="default" w:ascii="Times New Roman" w:hAnsi="Times New Roman" w:eastAsia="方正仿宋简体" w:cs="Times New Roman"/>
          <w:sz w:val="32"/>
          <w:szCs w:val="32"/>
        </w:rPr>
        <w:t>（四）基准地价原则上每3年更新一次，期间可根据经济发展、土地市场变化等因素进行适当调整。</w:t>
      </w:r>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82"/>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方正仿宋简体">
    <w:panose1 w:val="02010601030101010101"/>
    <w:charset w:val="86"/>
    <w:family w:val="auto"/>
    <w:pitch w:val="default"/>
    <w:sig w:usb0="00000001" w:usb1="080E0000" w:usb2="00000000" w:usb3="00000000" w:csb0="00040000" w:csb1="00000000"/>
  </w:font>
  <w:font w:name="方正小标宋简体">
    <w:panose1 w:val="02010601030101010101"/>
    <w:charset w:val="86"/>
    <w:family w:val="auto"/>
    <w:pitch w:val="default"/>
    <w:sig w:usb0="00000001" w:usb1="080E0000" w:usb2="00000000" w:usb3="00000000" w:csb0="00040000" w:csb1="00000000"/>
  </w:font>
  <w:font w:name="方正黑体简体">
    <w:panose1 w:val="03000509000000000000"/>
    <w:charset w:val="86"/>
    <w:family w:val="auto"/>
    <w:pitch w:val="default"/>
    <w:sig w:usb0="00000001" w:usb1="080E0000" w:usb2="00000000" w:usb3="00000000" w:csb0="00040000" w:csb1="00000000"/>
  </w:font>
  <w:font w:name="方正楷体简体">
    <w:panose1 w:val="02010601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jc w:val="center"/>
      <w:rPr>
        <w:rFonts w:ascii="宋体" w:hAnsi="宋体" w:eastAsia="宋体"/>
        <w:sz w:val="28"/>
      </w:rPr>
    </w:pPr>
    <w:r>
      <w:rPr>
        <w:sz w:val="2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jc w:val="center"/>
                          </w:pPr>
                          <w:r>
                            <w:rPr>
                              <w:rFonts w:hint="eastAsia" w:ascii="宋体" w:hAnsi="宋体" w:eastAsia="宋体"/>
                              <w:sz w:val="28"/>
                            </w:rPr>
                            <w:t xml:space="preserve">— </w:t>
                          </w:r>
                          <w:r>
                            <w:rPr>
                              <w:rFonts w:hint="eastAsia" w:ascii="宋体" w:hAnsi="宋体" w:eastAsia="宋体"/>
                              <w:sz w:val="28"/>
                            </w:rPr>
                            <w:fldChar w:fldCharType="begin"/>
                          </w:r>
                          <w:r>
                            <w:rPr>
                              <w:rFonts w:hint="eastAsia" w:ascii="宋体" w:hAnsi="宋体" w:eastAsia="宋体"/>
                              <w:sz w:val="28"/>
                            </w:rPr>
                            <w:instrText xml:space="preserve"> PAGE \* Arabic \* MERGEFORMAT </w:instrText>
                          </w:r>
                          <w:r>
                            <w:rPr>
                              <w:rFonts w:hint="eastAsia" w:ascii="宋体" w:hAnsi="宋体" w:eastAsia="宋体"/>
                              <w:sz w:val="28"/>
                            </w:rPr>
                            <w:fldChar w:fldCharType="separate"/>
                          </w:r>
                          <w:r>
                            <w:rPr>
                              <w:rFonts w:hint="eastAsia" w:ascii="宋体" w:hAnsi="宋体" w:eastAsia="宋体"/>
                              <w:sz w:val="28"/>
                            </w:rPr>
                            <w:t>1</w:t>
                          </w:r>
                          <w:r>
                            <w:rPr>
                              <w:rFonts w:hint="eastAsia" w:ascii="宋体" w:hAnsi="宋体" w:eastAsia="宋体"/>
                              <w:sz w:val="28"/>
                            </w:rPr>
                            <w:fldChar w:fldCharType="end"/>
                          </w:r>
                          <w:r>
                            <w:rPr>
                              <w:rFonts w:hint="eastAsia" w:ascii="宋体" w:hAnsi="宋体" w:eastAsia="宋体"/>
                              <w:sz w:val="28"/>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rbzf8SAgAAEwQAAA4AAABkcnMvZTJvRG9jLnhtbK1Ty47TMBTdI/EP&#10;lvc0aRGjqmo6KjMqQqqYkQpi7TpOE8kv2W6T8gHwB6zYsOe7+h0cO0kHASvExr6+73vu8fK2U5Kc&#10;hPON0QWdTnJKhOambPShoB/eb17MKfGB6ZJJo0VBz8LT29XzZ8vWLsTM1EaWwhEk0X7R2oLWIdhF&#10;lnleC8X8xFihYayMUyzg6Q5Z6ViL7Epmszy/yVrjSusMF95De98b6SrlryrBw0NVeRGILCh6C+l0&#10;6dzHM1st2eLgmK0bPrTB/qELxRqNotdU9ywwcnTNH6lUw53xpgoTblRmqqrhIs2Aaab5b9PsamZF&#10;mgXgeHuFyf+/tPzd6dGRpsTuKNFMYUWXr18u335cvn8m0whPa/0CXjsLv9C9Nl10HfQeyjh1VzkV&#10;b8xDYAfQ5yu4oguEx6D5bD7PYeKwjQ/kyZ7CrfPhjTCKRKGgDttLoLLT1ofedXSJ1bTZNFJCzxZS&#10;k7agNy9f5SngakFyqVEjDtE3G6XQ7bthgr0pzxjMmZ4Z3vJNg+Jb5sMjc6ACGga9wwOOShoUMYNE&#10;SW3cp7/poz82BCslLahVUA3uUyLfamwusnAU3CjsR0Ef1Z0BV7EN9JJEBLggR7FyRn0E59exBkxM&#10;c1QqaBjFu9DTG3+Gi/U6OR2taw51HwDeWRa2emd5LBPR83Z9DAAzYRwB6lEZcAPz0paGXxKp/es7&#10;eT395dVP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ewQAAFtDb250ZW50X1R5cGVzXS54bWxQSwECFAAKAAAAAACHTuJAAAAAAAAAAAAAAAAABgAA&#10;AAAAAAAAABAAAABdAwAAX3JlbHMvUEsBAhQAFAAAAAgAh07iQIoUZjzRAAAAlAEAAAsAAAAAAAAA&#10;AQAgAAAAgQMAAF9yZWxzLy5yZWxzUEsBAhQACgAAAAAAh07iQAAAAAAAAAAAAAAAAAQAAAAAAAAA&#10;AAAQAAAAAAAAAGRycy9QSwECFAAUAAAACACHTuJAs0lY7tAAAAAFAQAADwAAAAAAAAABACAAAAAi&#10;AAAAZHJzL2Rvd25yZXYueG1sUEsBAhQAFAAAAAgAh07iQErbzf8SAgAAEwQAAA4AAAAAAAAAAQAg&#10;AAAAHwEAAGRycy9lMm9Eb2MueG1sUEsFBgAAAAAGAAYAWQEAAKMFAAAAAA==&#10;">
              <v:fill on="f" focussize="0,0"/>
              <v:stroke on="f" weight="0.5pt"/>
              <v:imagedata o:title=""/>
              <o:lock v:ext="edit" aspectratio="f"/>
              <v:textbox inset="0mm,0mm,0mm,0mm" style="mso-fit-shape-to-text:t;">
                <w:txbxContent>
                  <w:p>
                    <w:pPr>
                      <w:pStyle w:val="2"/>
                      <w:jc w:val="center"/>
                    </w:pPr>
                    <w:r>
                      <w:rPr>
                        <w:rFonts w:hint="eastAsia" w:ascii="宋体" w:hAnsi="宋体" w:eastAsia="宋体"/>
                        <w:sz w:val="28"/>
                      </w:rPr>
                      <w:t xml:space="preserve">— </w:t>
                    </w:r>
                    <w:r>
                      <w:rPr>
                        <w:rFonts w:hint="eastAsia" w:ascii="宋体" w:hAnsi="宋体" w:eastAsia="宋体"/>
                        <w:sz w:val="28"/>
                      </w:rPr>
                      <w:fldChar w:fldCharType="begin"/>
                    </w:r>
                    <w:r>
                      <w:rPr>
                        <w:rFonts w:hint="eastAsia" w:ascii="宋体" w:hAnsi="宋体" w:eastAsia="宋体"/>
                        <w:sz w:val="28"/>
                      </w:rPr>
                      <w:instrText xml:space="preserve"> PAGE \* Arabic \* MERGEFORMAT </w:instrText>
                    </w:r>
                    <w:r>
                      <w:rPr>
                        <w:rFonts w:hint="eastAsia" w:ascii="宋体" w:hAnsi="宋体" w:eastAsia="宋体"/>
                        <w:sz w:val="28"/>
                      </w:rPr>
                      <w:fldChar w:fldCharType="separate"/>
                    </w:r>
                    <w:r>
                      <w:rPr>
                        <w:rFonts w:hint="eastAsia" w:ascii="宋体" w:hAnsi="宋体" w:eastAsia="宋体"/>
                        <w:sz w:val="28"/>
                      </w:rPr>
                      <w:t>1</w:t>
                    </w:r>
                    <w:r>
                      <w:rPr>
                        <w:rFonts w:hint="eastAsia" w:ascii="宋体" w:hAnsi="宋体" w:eastAsia="宋体"/>
                        <w:sz w:val="28"/>
                      </w:rPr>
                      <w:fldChar w:fldCharType="end"/>
                    </w:r>
                    <w:r>
                      <w:rPr>
                        <w:rFonts w:hint="eastAsia" w:ascii="宋体" w:hAnsi="宋体" w:eastAsia="宋体"/>
                        <w:sz w:val="28"/>
                      </w:rPr>
                      <w:t xml:space="preserve"> —</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43E3073"/>
    <w:rsid w:val="443E307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iPriority="99"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仿宋" w:cs="Times New Roman"/>
      <w:kern w:val="2"/>
      <w:sz w:val="32"/>
      <w:szCs w:val="22"/>
      <w:lang w:val="en-US" w:eastAsia="zh-CN" w:bidi="ar-SA"/>
      <w14:ligatures w14:val="standardContextual"/>
    </w:rPr>
  </w:style>
  <w:style w:type="character" w:default="1" w:styleId="5">
    <w:name w:val="Default Paragraph Font"/>
    <w:semiHidden/>
    <w:uiPriority w:val="0"/>
  </w:style>
  <w:style w:type="table" w:default="1" w:styleId="4">
    <w:name w:val="Normal Table"/>
    <w:semiHidden/>
    <w:uiPriority w:val="0"/>
    <w:tblPr>
      <w:tblCellMar>
        <w:top w:w="0" w:type="dxa"/>
        <w:left w:w="108" w:type="dxa"/>
        <w:bottom w:w="0" w:type="dxa"/>
        <w:right w:w="108" w:type="dxa"/>
      </w:tblCellMar>
    </w:tblPr>
  </w:style>
  <w:style w:type="paragraph" w:styleId="2">
    <w:name w:val="footer"/>
    <w:basedOn w:val="1"/>
    <w:unhideWhenUsed/>
    <w:qFormat/>
    <w:uiPriority w:val="99"/>
    <w:pPr>
      <w:tabs>
        <w:tab w:val="center" w:pos="4153"/>
        <w:tab w:val="right" w:pos="8306"/>
      </w:tabs>
      <w:snapToGrid w:val="0"/>
      <w:jc w:val="left"/>
    </w:pPr>
    <w:rPr>
      <w:sz w:val="18"/>
      <w:szCs w:val="18"/>
    </w:rPr>
  </w:style>
  <w:style w:type="paragraph" w:styleId="3">
    <w:name w:val="header"/>
    <w:basedOn w:val="1"/>
    <w:unhideWhenUsed/>
    <w:qFormat/>
    <w:uiPriority w:val="99"/>
    <w:pPr>
      <w:tabs>
        <w:tab w:val="center" w:pos="4153"/>
        <w:tab w:val="right" w:pos="8306"/>
      </w:tabs>
      <w:snapToGrid w:val="0"/>
      <w:jc w:val="center"/>
    </w:pPr>
    <w:rPr>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Office_11.8.2.9022_F1E327BC-269C-435d-A152-05C5408002CA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2026-10-31T12:27:00Z</dcterms:created>
  <dc:creator>Administrator</dc:creator>
  <cp:lastModifiedBy>Administrator</cp:lastModifiedBy>
  <dcterms:modified xsi:type="dcterms:W3CDTF">2026-10-31T12:29:24Z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2052-11.8.2.9022</vt:lpwstr>
  </property>
</Properties>
</file>