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0" w:firstLineChars="0"/>
        <w:jc w:val="center"/>
        <w:textAlignment w:val="baseline"/>
        <w:rPr>
          <w:rFonts w:hint="default" w:ascii="Times New Roman" w:hAnsi="Times New Roman" w:eastAsia="方正小标宋_GBK" w:cs="Times New Roman"/>
          <w:spacing w:val="0"/>
          <w:w w:val="100"/>
          <w:sz w:val="40"/>
          <w:szCs w:val="40"/>
        </w:rPr>
      </w:pPr>
      <w:bookmarkStart w:id="0" w:name="_GoBack"/>
      <w:r>
        <w:rPr>
          <w:rFonts w:hint="eastAsia" w:ascii="Times New Roman" w:hAnsi="Times New Roman" w:eastAsia="方正小标宋_GBK" w:cs="Times New Roman"/>
          <w:spacing w:val="0"/>
          <w:w w:val="100"/>
          <w:sz w:val="40"/>
          <w:szCs w:val="40"/>
          <w:lang w:val="en-US" w:eastAsia="zh-CN"/>
        </w:rPr>
        <w:t>巴楚县</w:t>
      </w:r>
      <w:r>
        <w:rPr>
          <w:rFonts w:hint="default" w:ascii="Times New Roman" w:hAnsi="Times New Roman" w:eastAsia="方正小标宋_GBK" w:cs="Times New Roman"/>
          <w:spacing w:val="0"/>
          <w:w w:val="100"/>
          <w:sz w:val="40"/>
          <w:szCs w:val="40"/>
        </w:rPr>
        <w:t>人民政府征地补偿安置方案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根据《中华人民共和国土地管理法》第四十七条、第四十八条，《中华人民共和国土地管理法实施条例》第二十七条、第二十八条，《新疆维吾尔自治区实施&lt;中华人民共和国土地管理法&gt;办法》第二十六条的规定，依据征收土地预公告、拟征收土地现状调查和社会稳定风险评估情况，现将拟定征收土地补偿安置方案的有关事项公告如下</w:t>
      </w: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  <w:t>一、征收范围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本次拟征收位于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阿纳库勒乡博孜买里村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范围内，拟征收农民集体所有土地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17.662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公顷，具体位置详见附图。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实际征收土地范围以最终批准文件为准。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  <w:t>二、征收目的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根据《中华人民共和国土地管理法》第四十五条的规定，本次拟征收土地目的为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由政府组织实施的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成片开发建设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需要用地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，符合公共利益的需要。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  <w:t>三、土地现状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根据拟征收土地现状调查情况，本次拟征收土地现状如下：拟征收阿纳库勒乡博孜买里村集体所有土地13.0574公顷（195.861亩），其中：农用地13.0574公顷（195.861亩），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均为林地。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拟征收阿纳库勒乡结然塔拉村集体所有土地4.6046公顷（69.069亩），其中：农用地4.6046公顷（69.069亩），含耕地4.4515公顷（66.7725亩）、林地0.1531公顷（2.2965亩）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  <w:t>四、补偿方式和标准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eastAsia" w:ascii="方正楷体_GBK" w:hAnsi="方正楷体_GBK" w:eastAsia="方正楷体_GBK" w:cs="方正楷体_GBK"/>
          <w:b w:val="0"/>
          <w:bCs w:val="0"/>
          <w:spacing w:val="0"/>
          <w:w w:val="1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  <w:t>（一）土地补偿费和安置补助费标准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根据《关于重新公布自治区征收农用地区片综合地价标准的通知》（新自然资规〔2024〕1号）的规定，土地补偿费标准为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16.5645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万元/公顷，安置补助费标准为44.7855万元/公顷。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  <w:t>（二）青苗补偿标准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按《关于下发自治区国土资源系统土地管理行政事业性收费标准的通知》（新计价房〔2001〕500号）、《关于公布实施自治区征地统一年产值标准的通知》（新国土资发〔2011〕19号）的规定执行。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  <w:t>（三）地上附着物补偿标准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地上附着物补偿按《自治区重点建设项目征地拆迁补偿标准》（新国土资发〔2009〕131号）的规定执行。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3" w:firstLineChars="200"/>
        <w:jc w:val="both"/>
        <w:textAlignment w:val="baseline"/>
        <w:rPr>
          <w:rFonts w:hint="default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spacing w:val="0"/>
          <w:w w:val="100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/>
          <w:bCs/>
          <w:spacing w:val="0"/>
          <w:w w:val="100"/>
          <w:sz w:val="32"/>
          <w:szCs w:val="32"/>
          <w:lang w:val="en-US" w:eastAsia="zh-CN"/>
        </w:rPr>
        <w:t>四</w:t>
      </w:r>
      <w:r>
        <w:rPr>
          <w:rFonts w:hint="eastAsia" w:ascii="方正楷体_GBK" w:hAnsi="方正楷体_GBK" w:eastAsia="方正楷体_GBK" w:cs="方正楷体_GBK"/>
          <w:b/>
          <w:bCs/>
          <w:spacing w:val="0"/>
          <w:w w:val="100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/>
          <w:bCs/>
          <w:spacing w:val="0"/>
          <w:w w:val="100"/>
          <w:sz w:val="32"/>
          <w:szCs w:val="32"/>
        </w:rPr>
        <w:t>农村村民住宅和其他房屋</w:t>
      </w:r>
      <w:r>
        <w:rPr>
          <w:rFonts w:hint="eastAsia" w:ascii="方正楷体_GBK" w:hAnsi="方正楷体_GBK" w:eastAsia="方正楷体_GBK" w:cs="方正楷体_GBK"/>
          <w:b/>
          <w:bCs/>
          <w:spacing w:val="0"/>
          <w:w w:val="100"/>
          <w:sz w:val="32"/>
          <w:szCs w:val="32"/>
          <w:lang w:val="en-US" w:eastAsia="zh-CN"/>
        </w:rPr>
        <w:t>补偿标准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涉及农村村民住宅和其他房屋的，遵照《自治区重点建设项目征地拆迁补偿标准》（新国土资发〔2009〕131号）的规定执行。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pacing w:val="0"/>
          <w:w w:val="100"/>
          <w:sz w:val="32"/>
          <w:szCs w:val="32"/>
        </w:rPr>
        <w:t>五、安置对象、方式及社会保障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本次征收土地涉及被征地农民的安置和社会保障按照《关于完善自治区被征地农民参加基本养老保险有关政策的通知》（新人社发〔2017〕86号）的规定执行。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0" w:firstLineChars="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440" w:firstLineChars="1700"/>
        <w:jc w:val="both"/>
        <w:textAlignment w:val="baseline"/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u w:val="none" w:color="auto"/>
        </w:rPr>
      </w:pPr>
      <w:r>
        <w:rPr>
          <w:rFonts w:hint="eastAsia" w:ascii="Times New Roman" w:hAnsi="Times New Roman" w:eastAsia="方正仿宋_GBK" w:cs="Times New Roman"/>
          <w:spacing w:val="0"/>
          <w:w w:val="100"/>
          <w:sz w:val="32"/>
          <w:szCs w:val="32"/>
          <w:u w:val="none" w:color="auto"/>
          <w:lang w:val="en-US" w:eastAsia="zh-CN"/>
        </w:rPr>
        <w:t>巴楚县</w:t>
      </w:r>
      <w:r>
        <w:rPr>
          <w:rFonts w:hint="default" w:ascii="Times New Roman" w:hAnsi="Times New Roman" w:eastAsia="方正仿宋_GBK" w:cs="Times New Roman"/>
          <w:spacing w:val="0"/>
          <w:w w:val="100"/>
          <w:sz w:val="32"/>
          <w:szCs w:val="32"/>
          <w:u w:val="none" w:color="auto"/>
        </w:rPr>
        <w:t>人民政府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760" w:firstLineChars="18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月</w:t>
      </w:r>
      <w:r>
        <w:rPr>
          <w:rFonts w:hint="eastAsia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spacing w:val="0"/>
          <w:w w:val="100"/>
          <w:sz w:val="32"/>
          <w:szCs w:val="32"/>
          <w:u w:val="none" w:color="auto"/>
        </w:rPr>
        <w:t>（此件公开发布）</w:t>
      </w:r>
    </w:p>
    <w:p/>
    <w:sectPr>
      <w:footerReference r:id="rId3" w:type="default"/>
      <w:pgSz w:w="11906" w:h="16838"/>
      <w:pgMar w:top="1984" w:right="1531" w:bottom="1701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left="786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83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2026-02-10T09:45:51Z</dcterms:created>
  <dc:creator>Administrator</dc:creator>
  <cp:lastModifiedBy>Administrator</cp:lastModifiedBy>
  <dcterms:modified xsi:type="dcterms:W3CDTF">2026-02-10T09:46:03Z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