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5" w:lineRule="auto"/>
        <w:ind w:left="27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-1"/>
          <w:sz w:val="44"/>
          <w:szCs w:val="44"/>
        </w:rPr>
        <w:t>2021</w:t>
      </w:r>
      <w:r>
        <w:rPr>
          <w:rFonts w:hint="default" w:ascii="Times New Roman" w:hAnsi="Times New Roman" w:eastAsia="方正小标宋简体" w:cs="Times New Roman"/>
          <w:color w:val="auto"/>
          <w:spacing w:val="-75"/>
          <w:sz w:val="44"/>
          <w:szCs w:val="44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pacing w:val="-1"/>
          <w:sz w:val="44"/>
          <w:szCs w:val="44"/>
        </w:rPr>
        <w:t>年度巴楚县一般公共预算“三公”经费</w:t>
      </w:r>
    </w:p>
    <w:p>
      <w:pPr>
        <w:spacing w:before="99" w:line="225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4"/>
          <w:sz w:val="44"/>
          <w:szCs w:val="44"/>
        </w:rPr>
        <w:t>支出情况说明</w:t>
      </w:r>
    </w:p>
    <w:p>
      <w:pPr>
        <w:pStyle w:val="2"/>
        <w:numPr>
          <w:ilvl w:val="0"/>
          <w:numId w:val="0"/>
        </w:numPr>
        <w:spacing w:before="247" w:line="227" w:lineRule="auto"/>
        <w:rPr>
          <w:rFonts w:hint="default" w:ascii="Times New Roman" w:hAnsi="Times New Roman" w:cs="Times New Roman"/>
          <w:color w:val="auto"/>
          <w:spacing w:val="6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64" w:firstLineChars="200"/>
        <w:textAlignment w:val="baseline"/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预算单位、人员及车辆基本情况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2021年度巴楚县共142个预算单位，实有人数12792人，其中：在职人员12789人，离休人员3人，退休人员0人。公务用车总数582辆（其中：机要通信用车1辆，应急保障用车5辆，执法执勤用车168辆，特种专业技术用车65辆，其他用车342辆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64" w:firstLineChars="200"/>
        <w:textAlignment w:val="baseline"/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二、“三公”经费支出口径说明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一）因公出国(境)费用：反映地区本级行政事业单位工作人员公务出国(境)的住宿费、差旅费、伙食补助费、杂费、培训费等支出。包括学术会议、科技研讨会、国际重大体育赛事申办及参赛费用、文化交流(如文化访问演出等)和政府间、单位间交往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（二）公务接待费：反映地区本级行政事业单位按规定开支的各类公务接待(外宾接待)费用。包括国际访问、大型活动(如亚欧博览会)及外省市交流接待等。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（三）公务用车购置：反映喀什地区本级行政事业单位公务用车车辆购置支出(含车辆购置税)。包括执法执勤用车、特种专业技术用车和一般公务用车车辆报废更新等。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（四）公务用车运行维护费：反映喀什地区本级行政事业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单位公务用车燃料费、维修费、保险费、过桥过路费等支出。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64" w:firstLineChars="200"/>
        <w:textAlignment w:val="baseline"/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三、“三公”经费决算增减变化原因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2021年度一般公共预算“三公”经费支出决算429.78万元，比上年436.52万元减少6.74万元，降低1.54%，减少原因是压减支出。其中，因公出国（境）费支出0元，与上年一致；公务用车购置及运行维护费支出388.11万元，占90.3%，比上年385.88万元减少2.23万元，降低0.58%,减少原因是压减支出（其中公务用车购置0万元，与上年一致;公务用车运行维护费388.11万元，比上年减少2.23万元，降低0.58%,减少原因是压减支出)；公务接待费支出41.67万元，占9.7%，比上年50.64万元减少8.97万元，降低17.72%，减少原因是压减支出。具体情况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因公出国（境）费支出0万元，因公出国0批次，0人次。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公务用车购置及运行维护费388.11万元，其中，公务用车购置0万元，公务用车运行维护费388.11万元。主要用于公务用车运行维护费，包括车辆燃料费、维修费、过路过桥费、保险费等支出，主要用于日常公务、政务督查检查、政策调研等。2021年，单位一般公共财政拨款安排的公务用车购置量0辆，保有量为251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公务接待费41.67万元。具体是：国内公务接待支出41.67万元，主要是用于接待上级、外省单位业务指导、工作调研以及基层单位工作联络等公务往来支出。经费使用贯彻党中央八项规定和</w:t>
      </w:r>
      <w:r>
        <w:rPr>
          <w:rFonts w:hint="eastAsia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委30条要求，严格执行《党政机关厉行节约反对浪费条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例》《机关事务管理条例》的实施意见等相关规定。2个单位（巴楚县委、巴楚县人民政府办公室）国内公务接待239批次，4288人次。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right="0" w:firstLine="656" w:firstLineChars="200"/>
        <w:textAlignment w:val="baseline"/>
        <w:rPr>
          <w:rFonts w:hint="default" w:ascii="Times New Roman" w:hAnsi="Times New Roman" w:eastAsia="方正黑体简体" w:cs="Times New Roman"/>
          <w:b w:val="0"/>
          <w:bCs w:val="0"/>
          <w:color w:val="auto"/>
          <w:spacing w:val="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方正仿宋简体" w:cs="Times New Roman"/>
          <w:color w:val="auto"/>
          <w:spacing w:val="4"/>
          <w:sz w:val="32"/>
          <w:szCs w:val="32"/>
          <w:lang w:val="en-US" w:eastAsia="zh-CN"/>
        </w:rPr>
        <w:t>与预算相比情况，2021年“三公”经费预算439万元，决算数429.78万元，预决算差异率-2.1%。主要原因是公务接待减少，公务接待费减少8.33万元。其中：因公出国（境）费用预算数0万元，预决算数无差异；公务用车购置费预算数0万元，预决算数无差异；公务用车维护费预算数389万元，决算数388.11万元，预决算差异率-0.23%；国内公务接待费预算数50万元，决算数41.67万元，预决算差异率-16.66%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ZDJiNGRjZTcwMjVjNjgyZTg3MDU5MDRjNjc0Y2IifQ=="/>
  </w:docVars>
  <w:rsids>
    <w:rsidRoot w:val="565F45AA"/>
    <w:rsid w:val="03AB132A"/>
    <w:rsid w:val="0C5C6AE7"/>
    <w:rsid w:val="0E6A15F7"/>
    <w:rsid w:val="1DA12B28"/>
    <w:rsid w:val="21E70284"/>
    <w:rsid w:val="234B6811"/>
    <w:rsid w:val="24AE5D65"/>
    <w:rsid w:val="44B727F8"/>
    <w:rsid w:val="470A3070"/>
    <w:rsid w:val="4DEF073D"/>
    <w:rsid w:val="503C640D"/>
    <w:rsid w:val="539F5829"/>
    <w:rsid w:val="565F45AA"/>
    <w:rsid w:val="5F7B02F0"/>
    <w:rsid w:val="64500FA4"/>
    <w:rsid w:val="65BE105A"/>
    <w:rsid w:val="680E20C7"/>
    <w:rsid w:val="6F80375E"/>
    <w:rsid w:val="7F4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1191</Words>
  <Characters>1356</Characters>
  <Lines>0</Lines>
  <Paragraphs>0</Paragraphs>
  <TotalTime>15</TotalTime>
  <ScaleCrop>false</ScaleCrop>
  <LinksUpToDate>false</LinksUpToDate>
  <CharactersWithSpaces>1383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2023-08-11T08:41:00Z</dcterms:created>
  <dc:creator>稀释离愁</dc:creator>
  <cp:lastModifiedBy>Administrator</cp:lastModifiedBy>
  <cp:lastPrinted>2023-08-25T05:23:00Z</cp:lastPrinted>
  <dcterms:modified xsi:type="dcterms:W3CDTF">2023-08-28T10:42:28Z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3BC1AFFC14A04EA89B957E05D329DF3C_11</vt:lpwstr>
  </property>
</Properties>
</file>