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新疆喀什地区中共巴楚县委办公室2021年度部门决算公开说明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ind w:firstLine="640" w:firstLineChars="200"/>
        <w:rPr>
          <w:rFonts w:ascii="仿宋_GB2312" w:eastAsia="仿宋_GB2312"/>
          <w:sz w:val="32"/>
          <w:szCs w:val="32"/>
        </w:rPr>
      </w:pPr>
      <w:r>
        <w:rPr>
          <w:rFonts w:ascii="仿宋_GB2312" w:eastAsia="仿宋_GB2312"/>
          <w:sz w:val="32"/>
          <w:szCs w:val="32"/>
        </w:rPr>
        <w:t>县委办公室是县委履行领导职责的参谋助手。负责推动以党中央治疆方略、自治区党委、地委决策部署的贯彻落实，按照县委要求协调有关方面开展工作，承担县委运行保障具体事务，在履行职责过程中坚持和加强党的集中统一领导。主要职责是：</w:t>
      </w:r>
      <w:r>
        <w:rPr>
          <w:rFonts w:ascii="仿宋_GB2312" w:eastAsia="仿宋_GB2312"/>
          <w:sz w:val="32"/>
          <w:szCs w:val="32"/>
        </w:rPr>
        <w:br w:type="textWrapping"/>
      </w:r>
      <w:r>
        <w:rPr>
          <w:rFonts w:ascii="仿宋_GB2312" w:eastAsia="仿宋_GB2312"/>
          <w:sz w:val="32"/>
          <w:szCs w:val="32"/>
        </w:rPr>
        <w:t>　　（一）负责县委日常工作的综合协调，承担与县委各议事协调机构办公室的协调工作。</w:t>
      </w:r>
      <w:r>
        <w:rPr>
          <w:rFonts w:ascii="仿宋_GB2312" w:eastAsia="仿宋_GB2312"/>
          <w:sz w:val="32"/>
          <w:szCs w:val="32"/>
        </w:rPr>
        <w:br w:type="textWrapping"/>
      </w:r>
      <w:r>
        <w:rPr>
          <w:rFonts w:ascii="仿宋_GB2312" w:eastAsia="仿宋_GB2312"/>
          <w:sz w:val="32"/>
          <w:szCs w:val="32"/>
        </w:rPr>
        <w:t>　　（二）负责县委日常文电的处理工作，承担县委、县委办公室文件文稿的起草、修改、审核和制发、立卷、归档、清理和销毁等工作。</w:t>
      </w:r>
      <w:r>
        <w:rPr>
          <w:rFonts w:ascii="仿宋_GB2312" w:eastAsia="仿宋_GB2312"/>
          <w:sz w:val="32"/>
          <w:szCs w:val="32"/>
        </w:rPr>
        <w:br w:type="textWrapping"/>
      </w:r>
      <w:r>
        <w:rPr>
          <w:rFonts w:ascii="仿宋_GB2312" w:eastAsia="仿宋_GB2312"/>
          <w:sz w:val="32"/>
          <w:szCs w:val="32"/>
        </w:rPr>
        <w:t>　　（三）承办对中央、自治区党委、地委和县委决策部署贯彻落实情况的督促检查和中央、自治区党委、地委、县委领导同志的指示批示、交办事项的催办落实；负责县委工作部署落实情况的督促检查和县委文件、县委领导同志指示批示的催办落实工作。</w:t>
      </w:r>
      <w:r>
        <w:rPr>
          <w:rFonts w:ascii="仿宋_GB2312" w:eastAsia="仿宋_GB2312"/>
          <w:sz w:val="32"/>
          <w:szCs w:val="32"/>
        </w:rPr>
        <w:br w:type="textWrapping"/>
      </w:r>
      <w:r>
        <w:rPr>
          <w:rFonts w:ascii="仿宋_GB2312" w:eastAsia="仿宋_GB2312"/>
          <w:sz w:val="32"/>
          <w:szCs w:val="32"/>
        </w:rPr>
        <w:t>　　（四）负责全面了解全县稳定、经济与社会发展情况，及时掌握各乡镇、各部门重大动态，为县委科学决策发挥参谋助手作用；围绕县委总体工作部署，负责全县重要信息的收集处理，及时向中央办公厅、自治区党委办公厅、地委和县委报送信息；负责县委总值班工作。</w:t>
      </w:r>
      <w:r>
        <w:rPr>
          <w:rFonts w:ascii="仿宋_GB2312" w:eastAsia="仿宋_GB2312"/>
          <w:sz w:val="32"/>
          <w:szCs w:val="32"/>
        </w:rPr>
        <w:br w:type="textWrapping"/>
      </w:r>
      <w:r>
        <w:rPr>
          <w:rFonts w:ascii="仿宋_GB2312" w:eastAsia="仿宋_GB2312"/>
          <w:sz w:val="32"/>
          <w:szCs w:val="32"/>
        </w:rPr>
        <w:t>　　（五）负责中央、自治区党委、地委、县委文件和党政军领导机关及其要害部门核心密码、核心文件、信件的接收、传递工作。</w:t>
      </w:r>
      <w:r>
        <w:rPr>
          <w:rFonts w:ascii="仿宋_GB2312" w:eastAsia="仿宋_GB2312"/>
          <w:sz w:val="32"/>
          <w:szCs w:val="32"/>
        </w:rPr>
        <w:br w:type="textWrapping"/>
      </w:r>
      <w:r>
        <w:rPr>
          <w:rFonts w:ascii="仿宋_GB2312" w:eastAsia="仿宋_GB2312"/>
          <w:sz w:val="32"/>
          <w:szCs w:val="32"/>
        </w:rPr>
        <w:t>　　（六）负责县委召开会议的筹备、组织和服务工作；负责县委领导同志的公务活动安排，统筹协调公务活动的接待服务。</w:t>
      </w:r>
      <w:r>
        <w:rPr>
          <w:rFonts w:ascii="仿宋_GB2312" w:eastAsia="仿宋_GB2312"/>
          <w:sz w:val="32"/>
          <w:szCs w:val="32"/>
        </w:rPr>
        <w:br w:type="textWrapping"/>
      </w:r>
      <w:r>
        <w:rPr>
          <w:rFonts w:ascii="仿宋_GB2312" w:eastAsia="仿宋_GB2312"/>
          <w:sz w:val="32"/>
          <w:szCs w:val="32"/>
        </w:rPr>
        <w:t>　　（七）负责县委规范性文件的具体服务工作。</w:t>
      </w:r>
      <w:r>
        <w:rPr>
          <w:rFonts w:ascii="仿宋_GB2312" w:eastAsia="仿宋_GB2312"/>
          <w:sz w:val="32"/>
          <w:szCs w:val="32"/>
        </w:rPr>
        <w:br w:type="textWrapping"/>
      </w:r>
      <w:r>
        <w:rPr>
          <w:rFonts w:ascii="仿宋_GB2312" w:eastAsia="仿宋_GB2312"/>
          <w:sz w:val="32"/>
          <w:szCs w:val="32"/>
        </w:rPr>
        <w:t>　　（八）负责县委机关的安全保卫、后勤保障的协调服务工作。</w:t>
      </w:r>
      <w:r>
        <w:rPr>
          <w:rFonts w:ascii="仿宋_GB2312" w:eastAsia="仿宋_GB2312"/>
          <w:sz w:val="32"/>
          <w:szCs w:val="32"/>
        </w:rPr>
        <w:br w:type="textWrapping"/>
      </w:r>
      <w:r>
        <w:rPr>
          <w:rFonts w:ascii="仿宋_GB2312" w:eastAsia="仿宋_GB2312"/>
          <w:sz w:val="32"/>
          <w:szCs w:val="32"/>
        </w:rPr>
        <w:t>　　（九）负责中央和中央办公厅、自治区党委和自治区党委办公厅、地委和地委办公室、县委和县委办公室有关会议和文件材料的翻译工作。</w:t>
      </w:r>
      <w:r>
        <w:rPr>
          <w:rFonts w:ascii="仿宋_GB2312" w:eastAsia="仿宋_GB2312"/>
          <w:sz w:val="32"/>
          <w:szCs w:val="32"/>
        </w:rPr>
        <w:br w:type="textWrapping"/>
      </w:r>
      <w:r>
        <w:rPr>
          <w:rFonts w:ascii="仿宋_GB2312" w:eastAsia="仿宋_GB2312"/>
          <w:sz w:val="32"/>
          <w:szCs w:val="32"/>
        </w:rPr>
        <w:t>　　（十）负责县委机关的政治思想教育、精神文明建设、党务工作和县委办公室的政工、人事工作。</w:t>
      </w:r>
      <w:r>
        <w:rPr>
          <w:rFonts w:ascii="仿宋_GB2312" w:eastAsia="仿宋_GB2312"/>
          <w:sz w:val="32"/>
          <w:szCs w:val="32"/>
        </w:rPr>
        <w:br w:type="textWrapping"/>
      </w:r>
      <w:r>
        <w:rPr>
          <w:rFonts w:ascii="仿宋_GB2312" w:eastAsia="仿宋_GB2312"/>
          <w:sz w:val="32"/>
          <w:szCs w:val="32"/>
        </w:rPr>
        <w:t>　　（十一）负责县委全面深化改革委员会具体工作。</w:t>
      </w:r>
      <w:r>
        <w:rPr>
          <w:rFonts w:ascii="仿宋_GB2312" w:eastAsia="仿宋_GB2312"/>
          <w:sz w:val="32"/>
          <w:szCs w:val="32"/>
        </w:rPr>
        <w:br w:type="textWrapping"/>
      </w:r>
      <w:r>
        <w:rPr>
          <w:rFonts w:ascii="仿宋_GB2312" w:eastAsia="仿宋_GB2312"/>
          <w:sz w:val="32"/>
          <w:szCs w:val="32"/>
        </w:rPr>
        <w:t>　　（十二）负责县委国家安全委员会办公室具体工作。</w:t>
      </w:r>
      <w:r>
        <w:rPr>
          <w:rFonts w:ascii="仿宋_GB2312" w:eastAsia="仿宋_GB2312"/>
          <w:sz w:val="32"/>
          <w:szCs w:val="32"/>
        </w:rPr>
        <w:br w:type="textWrapping"/>
      </w:r>
      <w:r>
        <w:rPr>
          <w:rFonts w:ascii="仿宋_GB2312" w:eastAsia="仿宋_GB2312"/>
          <w:sz w:val="32"/>
          <w:szCs w:val="32"/>
        </w:rPr>
        <w:t>　　（十三）负责县委财经委员会办公室具体工作。</w:t>
      </w:r>
      <w:r>
        <w:rPr>
          <w:rFonts w:ascii="仿宋_GB2312" w:eastAsia="仿宋_GB2312"/>
          <w:sz w:val="32"/>
          <w:szCs w:val="32"/>
        </w:rPr>
        <w:br w:type="textWrapping"/>
      </w:r>
      <w:r>
        <w:rPr>
          <w:rFonts w:ascii="仿宋_GB2312" w:eastAsia="仿宋_GB2312"/>
          <w:sz w:val="32"/>
          <w:szCs w:val="32"/>
        </w:rPr>
        <w:t>　　（十四）负责县委系统信息化建设的统一规划、协调和建设管理工作。</w:t>
      </w:r>
      <w:r>
        <w:rPr>
          <w:rFonts w:ascii="仿宋_GB2312" w:eastAsia="仿宋_GB2312"/>
          <w:sz w:val="32"/>
          <w:szCs w:val="32"/>
        </w:rPr>
        <w:br w:type="textWrapping"/>
      </w:r>
      <w:r>
        <w:rPr>
          <w:rFonts w:ascii="仿宋_GB2312" w:eastAsia="仿宋_GB2312"/>
          <w:sz w:val="32"/>
          <w:szCs w:val="32"/>
        </w:rPr>
        <w:t>　　（十五）负责全县档案事业行政管理，负责县档案馆重要档案提供利用的审批工作。</w:t>
      </w:r>
      <w:r>
        <w:rPr>
          <w:rFonts w:ascii="仿宋_GB2312" w:eastAsia="仿宋_GB2312"/>
          <w:sz w:val="32"/>
          <w:szCs w:val="32"/>
        </w:rPr>
        <w:br w:type="textWrapping"/>
      </w:r>
      <w:r>
        <w:rPr>
          <w:rFonts w:ascii="仿宋_GB2312" w:eastAsia="仿宋_GB2312"/>
          <w:sz w:val="32"/>
          <w:szCs w:val="32"/>
        </w:rPr>
        <w:t>　　（十六）管理县委机要保密局、县委专用通信局、县档案馆、县委信息化管理办公室、县翻译中心、县委政策研究中心。</w:t>
      </w:r>
      <w:r>
        <w:rPr>
          <w:rFonts w:ascii="仿宋_GB2312" w:eastAsia="仿宋_GB2312"/>
          <w:sz w:val="32"/>
          <w:szCs w:val="32"/>
        </w:rPr>
        <w:br w:type="textWrapping"/>
      </w:r>
      <w:r>
        <w:rPr>
          <w:rFonts w:ascii="仿宋_GB2312" w:eastAsia="仿宋_GB2312"/>
          <w:sz w:val="32"/>
          <w:szCs w:val="32"/>
        </w:rPr>
        <w:t>　　（十七）完成县委交办的其他工作</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新疆喀什地区中共巴楚县委办公室</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135</w:t>
      </w:r>
      <w:r>
        <w:rPr>
          <w:rFonts w:hint="eastAsia" w:ascii="仿宋_GB2312" w:eastAsia="仿宋_GB2312"/>
          <w:sz w:val="32"/>
          <w:szCs w:val="32"/>
        </w:rPr>
        <w:t>人，其中：在职人员</w:t>
      </w:r>
      <w:r>
        <w:rPr>
          <w:rFonts w:ascii="仿宋_GB2312" w:eastAsia="仿宋_GB2312"/>
          <w:sz w:val="32"/>
          <w:szCs w:val="32"/>
        </w:rPr>
        <w:t>98</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37</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从部门决算单位构成看，新疆喀什地区中共巴楚县委办公室部门决算包括：新疆喀什地区中共巴楚县委办公室决算。</w:t>
      </w:r>
      <w:r>
        <w:rPr>
          <w:rFonts w:hint="eastAsia" w:ascii="仿宋_GB2312" w:hAnsi="黑体" w:eastAsia="仿宋_GB2312" w:cs="宋体"/>
          <w:bCs/>
          <w:kern w:val="0"/>
          <w:sz w:val="32"/>
          <w:szCs w:val="32"/>
        </w:rPr>
        <w:t>单位</w:t>
      </w:r>
      <w:r>
        <w:rPr>
          <w:rFonts w:hint="eastAsia" w:ascii="仿宋_GB2312" w:hAnsi="黑体" w:eastAsia="仿宋_GB2312" w:cs="宋体"/>
          <w:bCs/>
          <w:kern w:val="0"/>
          <w:sz w:val="32"/>
          <w:szCs w:val="32"/>
          <w:lang w:eastAsia="zh-CN"/>
        </w:rPr>
        <w:t>无下属</w:t>
      </w:r>
      <w:r>
        <w:rPr>
          <w:rFonts w:hint="eastAsia" w:ascii="仿宋_GB2312" w:hAnsi="黑体" w:eastAsia="仿宋_GB2312" w:cs="宋体"/>
          <w:bCs/>
          <w:kern w:val="0"/>
          <w:sz w:val="32"/>
          <w:szCs w:val="32"/>
        </w:rPr>
        <w:t>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个处室，分别是：行政管理办公室、督查室、文秘工作办公室、会务保障和后勤接待室、财务室</w:t>
      </w:r>
      <w:r>
        <w:rPr>
          <w:rFonts w:hint="eastAsia" w:ascii="仿宋_GB2312" w:hAnsi="宋体" w:eastAsia="仿宋_GB2312" w:cs="宋体"/>
          <w:kern w:val="0"/>
          <w:sz w:val="32"/>
          <w:szCs w:val="32"/>
        </w:rPr>
        <w:t>。</w:t>
      </w:r>
      <w:bookmarkStart w:id="52" w:name="_GoBack"/>
      <w:bookmarkEnd w:id="52"/>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1,686.25</w:t>
      </w:r>
      <w:r>
        <w:rPr>
          <w:rFonts w:hint="eastAsia" w:ascii="仿宋_GB2312" w:eastAsia="仿宋_GB2312"/>
          <w:sz w:val="32"/>
          <w:szCs w:val="32"/>
        </w:rPr>
        <w:t>万元，与上年相比，增加76.86万元，</w:t>
      </w:r>
      <w:r>
        <w:rPr>
          <w:rFonts w:ascii="仿宋_GB2312" w:eastAsia="仿宋_GB2312"/>
          <w:sz w:val="32"/>
          <w:szCs w:val="32"/>
        </w:rPr>
        <w:t>增长4.78</w:t>
      </w:r>
      <w:r>
        <w:rPr>
          <w:rFonts w:hint="eastAsia" w:ascii="仿宋_GB2312" w:eastAsia="仿宋_GB2312"/>
          <w:sz w:val="32"/>
          <w:szCs w:val="32"/>
        </w:rPr>
        <w:t>%，主要原因是：本年增加县委办自治区高标准农田现场会经费、电子政务SM域建设分保测评等项目资金。本年支出</w:t>
      </w:r>
      <w:r>
        <w:rPr>
          <w:rFonts w:ascii="仿宋_GB2312" w:eastAsia="仿宋_GB2312"/>
          <w:sz w:val="32"/>
          <w:szCs w:val="32"/>
        </w:rPr>
        <w:t>1,686.25</w:t>
      </w:r>
      <w:r>
        <w:rPr>
          <w:rFonts w:hint="eastAsia" w:ascii="仿宋_GB2312" w:eastAsia="仿宋_GB2312"/>
          <w:sz w:val="32"/>
          <w:szCs w:val="32"/>
        </w:rPr>
        <w:t>万元，与上年相比，</w:t>
      </w:r>
      <w:r>
        <w:rPr>
          <w:rFonts w:ascii="仿宋_GB2312" w:eastAsia="仿宋_GB2312"/>
          <w:sz w:val="32"/>
          <w:szCs w:val="32"/>
        </w:rPr>
        <w:t>增加76.86</w:t>
      </w:r>
      <w:r>
        <w:rPr>
          <w:rFonts w:hint="eastAsia" w:ascii="仿宋_GB2312" w:eastAsia="仿宋_GB2312"/>
          <w:sz w:val="32"/>
          <w:szCs w:val="32"/>
        </w:rPr>
        <w:t>万元，</w:t>
      </w:r>
      <w:r>
        <w:rPr>
          <w:rFonts w:ascii="仿宋_GB2312" w:eastAsia="仿宋_GB2312"/>
          <w:sz w:val="32"/>
          <w:szCs w:val="32"/>
        </w:rPr>
        <w:t>增长4.78</w:t>
      </w:r>
      <w:r>
        <w:rPr>
          <w:rFonts w:hint="eastAsia" w:ascii="仿宋_GB2312" w:eastAsia="仿宋_GB2312"/>
          <w:sz w:val="32"/>
          <w:szCs w:val="32"/>
        </w:rPr>
        <w:t>%，主要原因是：本年增加县委办自治区高标准农田现场会经费、电子政务SM域建设分保测评等项目资金。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1,686.25</w:t>
      </w:r>
      <w:r>
        <w:rPr>
          <w:rFonts w:hint="eastAsia" w:ascii="仿宋_GB2312" w:eastAsia="仿宋_GB2312"/>
          <w:sz w:val="32"/>
          <w:szCs w:val="32"/>
        </w:rPr>
        <w:t>万元，其中：财政拨款收入</w:t>
      </w:r>
      <w:r>
        <w:rPr>
          <w:rFonts w:ascii="仿宋_GB2312" w:eastAsia="仿宋_GB2312"/>
          <w:sz w:val="32"/>
          <w:szCs w:val="32"/>
        </w:rPr>
        <w:t>1,686.25</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年度本年支出1,686.25万元，其中：基本支出</w:t>
      </w:r>
      <w:r>
        <w:rPr>
          <w:rFonts w:ascii="仿宋_GB2312" w:eastAsia="仿宋_GB2312"/>
          <w:sz w:val="32"/>
          <w:szCs w:val="32"/>
        </w:rPr>
        <w:t>1,333.51</w:t>
      </w:r>
      <w:r>
        <w:rPr>
          <w:rFonts w:hint="eastAsia" w:ascii="仿宋_GB2312" w:eastAsia="仿宋_GB2312"/>
          <w:sz w:val="32"/>
          <w:szCs w:val="32"/>
        </w:rPr>
        <w:t>万元，占79.08%；项目支出</w:t>
      </w:r>
      <w:r>
        <w:rPr>
          <w:rFonts w:ascii="仿宋_GB2312" w:eastAsia="仿宋_GB2312"/>
          <w:sz w:val="32"/>
          <w:szCs w:val="32"/>
        </w:rPr>
        <w:t>352.74</w:t>
      </w:r>
      <w:r>
        <w:rPr>
          <w:rFonts w:hint="eastAsia" w:ascii="仿宋_GB2312" w:eastAsia="仿宋_GB2312"/>
          <w:sz w:val="32"/>
          <w:szCs w:val="32"/>
        </w:rPr>
        <w:t>万元，占20.92%；上缴上级支出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1,686.25万元，与上年相比，增加76.86万元，增长4.78%，主要原因是：本年增加县委办自治区高标准农田现场会经费、电子政务SM域建设分保测评等项目资金。财政拨款支出1,686.25万元，与上年相比，增加76.86万元，增长4.78%，主要原因是：本年增加县委办自治区高标准农田现场会经费、电子政务SM域建设分保测评等项目资金。</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1,216.70</w:t>
      </w:r>
      <w:r>
        <w:rPr>
          <w:rFonts w:hint="eastAsia" w:ascii="仿宋_GB2312" w:eastAsia="仿宋_GB2312"/>
          <w:sz w:val="32"/>
          <w:szCs w:val="32"/>
        </w:rPr>
        <w:t>万元，决算数</w:t>
      </w:r>
      <w:r>
        <w:rPr>
          <w:rFonts w:ascii="仿宋_GB2312" w:eastAsia="仿宋_GB2312"/>
          <w:sz w:val="32"/>
          <w:szCs w:val="32"/>
        </w:rPr>
        <w:t>1,686.25</w:t>
      </w:r>
      <w:r>
        <w:rPr>
          <w:rFonts w:hint="eastAsia" w:ascii="仿宋_GB2312" w:eastAsia="仿宋_GB2312"/>
          <w:sz w:val="32"/>
          <w:szCs w:val="32"/>
        </w:rPr>
        <w:t>万元，预决算差异率</w:t>
      </w:r>
      <w:r>
        <w:rPr>
          <w:rFonts w:ascii="仿宋_GB2312" w:eastAsia="仿宋_GB2312"/>
          <w:sz w:val="32"/>
          <w:szCs w:val="32"/>
        </w:rPr>
        <w:t>38.59</w:t>
      </w:r>
      <w:r>
        <w:rPr>
          <w:rFonts w:hint="eastAsia" w:ascii="仿宋_GB2312" w:eastAsia="仿宋_GB2312"/>
          <w:sz w:val="32"/>
          <w:szCs w:val="32"/>
        </w:rPr>
        <w:t>%，主要原因是：年中追加大学生志愿者服务西部计划中央补助专项经费、追加单位的公用经费、年鉴印刷出版等项目经费。财政拨款支出年初预算数</w:t>
      </w:r>
      <w:r>
        <w:rPr>
          <w:rFonts w:ascii="仿宋_GB2312" w:eastAsia="仿宋_GB2312"/>
          <w:sz w:val="32"/>
          <w:szCs w:val="32"/>
        </w:rPr>
        <w:t>1,216.70</w:t>
      </w:r>
      <w:r>
        <w:rPr>
          <w:rFonts w:hint="eastAsia" w:ascii="仿宋_GB2312" w:eastAsia="仿宋_GB2312"/>
          <w:sz w:val="32"/>
          <w:szCs w:val="32"/>
        </w:rPr>
        <w:t>万元，决算数</w:t>
      </w:r>
      <w:r>
        <w:rPr>
          <w:rFonts w:ascii="仿宋_GB2312" w:eastAsia="仿宋_GB2312"/>
          <w:sz w:val="32"/>
          <w:szCs w:val="32"/>
        </w:rPr>
        <w:t>1,686.25</w:t>
      </w:r>
      <w:r>
        <w:rPr>
          <w:rFonts w:hint="eastAsia" w:ascii="仿宋_GB2312" w:eastAsia="仿宋_GB2312"/>
          <w:sz w:val="32"/>
          <w:szCs w:val="32"/>
        </w:rPr>
        <w:t>万元，预决算差异率38.59%，主要原因是：年中追加大学生志愿者服务西部计划中央补助专项经费、追加单位的公用经费、年鉴印刷出版等项目经费。</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年度一般公共预算财政拨款支出1,686.25万元。按功能分类科目项级科目公开，其中：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2010301行政运行21.18万元；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2012601行政运行1.80万元；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2012699其他档案事务支出5.48万元；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2012901行政运行4.24万元；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2012999其他群众团体事务支出216.29万元；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2013101行政运行799.75万元；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2013150事业运行231.53万元；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2013199其他党委办公厅（室）及相关机构事务支出112.97万元；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2013299其他组织事务支出15.00万元；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2080505机关事业单位基本养老保险缴费支出111.20万元；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2080999其他退役安置支出3.00万元；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2101101行政单位医疗51.62万元；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2101102事业单位医疗12.47万元；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2101103公务员医疗补助10.39万元；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2210201住房公积金89.33万元。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1,333.51</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1,240.84</w:t>
      </w:r>
      <w:r>
        <w:rPr>
          <w:rFonts w:hint="eastAsia" w:ascii="仿宋_GB2312" w:eastAsia="仿宋_GB2312"/>
          <w:sz w:val="32"/>
          <w:szCs w:val="32"/>
        </w:rPr>
        <w:t>万元，包括：基本工资、津贴补贴、奖金、绩效工资、机关事业单位基本养老保险缴费、职工基本医疗保险缴费、公务员医疗补助缴费、其他社会保障缴费、住房公积金、退休费、抚恤金、生活补助、其他对个人和家庭的补助</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公用经费92.67万元，包括：办公费、印刷费、邮电费、差旅费、公务用车运行维护费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50.94万元，比上年减少15.01万元，降低22.76%，主要原因是：严控三公经费支出，厉行节约，减少接待，压减经费。其中：因公出国（境）费支出0.00万元，占0.00%，比上年增加0.00万元，增长0.00%，主要原因是：我单位无因公出国（境）费；公务用车购置及运行维护费支出50.94万元，占100.00%，比上年增加6.70万元，增长15.14%，主要原因是：我单位公务用车车辆老化，车辆运行费增加；公务接待费支出0.00万元，占0.00%，比上年减少21.71万元，降低100.00%，主要原因是：严格执行八项规定，厉行节约，压减接待经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50.94</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50.94</w:t>
      </w:r>
      <w:r>
        <w:rPr>
          <w:rFonts w:hint="eastAsia" w:ascii="仿宋_GB2312" w:eastAsia="仿宋_GB2312"/>
          <w:sz w:val="32"/>
          <w:szCs w:val="32"/>
        </w:rPr>
        <w:t>万元。公务用车运行维护费开支内容包括：燃油费、车辆</w:t>
      </w:r>
      <w:r>
        <w:rPr>
          <w:rFonts w:hint="eastAsia" w:ascii="仿宋_GB2312" w:eastAsia="仿宋_GB2312"/>
          <w:sz w:val="32"/>
          <w:szCs w:val="32"/>
          <w:lang w:val="en-US" w:eastAsia="zh-CN"/>
        </w:rPr>
        <w:t>过路费</w:t>
      </w:r>
      <w:r>
        <w:rPr>
          <w:rFonts w:hint="eastAsia" w:ascii="仿宋_GB2312" w:eastAsia="仿宋_GB2312"/>
          <w:sz w:val="32"/>
          <w:szCs w:val="32"/>
        </w:rPr>
        <w:t>、车辆保险费、车辆维修费。公务用车购置数</w:t>
      </w:r>
      <w:r>
        <w:rPr>
          <w:rFonts w:ascii="仿宋_GB2312" w:eastAsia="仿宋_GB2312"/>
          <w:sz w:val="32"/>
          <w:szCs w:val="32"/>
        </w:rPr>
        <w:t>0</w:t>
      </w:r>
      <w:r>
        <w:rPr>
          <w:rFonts w:hint="eastAsia" w:ascii="仿宋_GB2312" w:eastAsia="仿宋_GB2312"/>
          <w:sz w:val="32"/>
          <w:szCs w:val="32"/>
        </w:rPr>
        <w:t>辆，公务用车保有量17辆。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与年初预算数相比情况：一般公共预算“三公”经费支出年初预算数51.00万元，决算数</w:t>
      </w:r>
      <w:r>
        <w:rPr>
          <w:rFonts w:ascii="仿宋_GB2312" w:eastAsia="仿宋_GB2312"/>
          <w:sz w:val="32"/>
          <w:szCs w:val="32"/>
        </w:rPr>
        <w:t>50.94</w:t>
      </w:r>
      <w:r>
        <w:rPr>
          <w:rFonts w:hint="eastAsia" w:ascii="仿宋_GB2312" w:eastAsia="仿宋_GB2312"/>
          <w:sz w:val="32"/>
          <w:szCs w:val="32"/>
        </w:rPr>
        <w:t>万元，预决算差异率-0.12%，主要原因是：严控经费支出，厉行节约，压减预算。</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预算数51.00万元，决算数50.94万元，预决算差异率-0.12%，主要原因是：严控经费支出，厉行节约，压减预算；</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万元，预决算差异率0.00%，主要原因是：预决算一致，无差异。</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我单位本年度无政府性基金预算财政拨款收入支出，政府性基金预算财政拨款收入支出决算表为空表。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2021年度新疆喀什地区中共巴楚县委办公室（行政单位和参照公务员法管理事业单位）机关运行经费支出</w:t>
      </w:r>
      <w:r>
        <w:rPr>
          <w:rFonts w:ascii="仿宋_GB2312" w:eastAsia="仿宋_GB2312"/>
          <w:sz w:val="32"/>
          <w:szCs w:val="32"/>
        </w:rPr>
        <w:t>92.67</w:t>
      </w:r>
      <w:r>
        <w:rPr>
          <w:rFonts w:hint="eastAsia" w:ascii="仿宋_GB2312" w:eastAsia="仿宋_GB2312"/>
          <w:sz w:val="32"/>
          <w:szCs w:val="32"/>
        </w:rPr>
        <w:t>万元，比上年减少0.85万元，降低0.91%，主要原因是：严控经费支出，厉行节约，压减机关运行经费。</w:t>
      </w:r>
    </w:p>
    <w:p>
      <w:pPr>
        <w:ind w:firstLine="640" w:firstLineChars="200"/>
        <w:rPr>
          <w:rFonts w:ascii="仿宋_GB2312" w:eastAsia="仿宋_GB2312"/>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2021年度政府采购支出总额165.99万元，其中：政府采购货物支出12.72万元、政府采购工程支出</w:t>
      </w:r>
      <w:r>
        <w:rPr>
          <w:rFonts w:ascii="仿宋_GB2312" w:eastAsia="仿宋_GB2312"/>
          <w:sz w:val="32"/>
          <w:szCs w:val="32"/>
        </w:rPr>
        <w:t>0.00</w:t>
      </w:r>
      <w:r>
        <w:rPr>
          <w:rFonts w:hint="eastAsia" w:ascii="仿宋_GB2312" w:eastAsia="仿宋_GB2312"/>
          <w:sz w:val="32"/>
          <w:szCs w:val="32"/>
        </w:rPr>
        <w:t>万元、政府采购服务支出153.27万元。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授予中小企业合同金额166万元，占政府采购支出总额的</w:t>
      </w:r>
      <w:r>
        <w:rPr>
          <w:rFonts w:ascii="仿宋_GB2312" w:eastAsia="仿宋_GB2312"/>
          <w:sz w:val="32"/>
          <w:szCs w:val="32"/>
        </w:rPr>
        <w:t>100.00</w:t>
      </w:r>
      <w:r>
        <w:rPr>
          <w:rFonts w:hint="eastAsia" w:ascii="仿宋_GB2312" w:eastAsia="仿宋_GB2312"/>
          <w:sz w:val="32"/>
          <w:szCs w:val="32"/>
        </w:rPr>
        <w:t>%，其中：授予小微企业合同金额159.33万元，占政府采购支出总额的</w:t>
      </w:r>
      <w:r>
        <w:rPr>
          <w:rFonts w:ascii="仿宋_GB2312" w:eastAsia="仿宋_GB2312"/>
          <w:sz w:val="32"/>
          <w:szCs w:val="32"/>
        </w:rPr>
        <w:t>9</w:t>
      </w:r>
      <w:r>
        <w:rPr>
          <w:rFonts w:hint="eastAsia" w:ascii="仿宋_GB2312" w:eastAsia="仿宋_GB2312"/>
          <w:sz w:val="32"/>
          <w:szCs w:val="32"/>
        </w:rPr>
        <w:t>5</w:t>
      </w:r>
      <w:r>
        <w:rPr>
          <w:rFonts w:ascii="仿宋_GB2312" w:eastAsia="仿宋_GB2312"/>
          <w:sz w:val="32"/>
          <w:szCs w:val="32"/>
        </w:rPr>
        <w:t>.</w:t>
      </w:r>
      <w:r>
        <w:rPr>
          <w:rFonts w:hint="eastAsia" w:ascii="仿宋_GB2312" w:eastAsia="仿宋_GB2312"/>
          <w:sz w:val="32"/>
          <w:szCs w:val="32"/>
        </w:rPr>
        <w:t>98%。</w:t>
      </w:r>
    </w:p>
    <w:p>
      <w:pPr>
        <w:ind w:firstLine="640" w:firstLineChars="200"/>
        <w:outlineLvl w:val="2"/>
        <w:rPr>
          <w:rFonts w:ascii="黑体" w:hAnsi="黑体" w:eastAsia="黑体"/>
          <w:sz w:val="32"/>
          <w:szCs w:val="32"/>
        </w:rPr>
      </w:pPr>
      <w:bookmarkStart w:id="28" w:name="_Toc4591"/>
      <w:bookmarkStart w:id="29" w:name="_Toc8391"/>
      <w:r>
        <w:rPr>
          <w:rFonts w:hint="eastAsia" w:ascii="黑体" w:hAnsi="黑体" w:eastAsia="黑体"/>
          <w:sz w:val="32"/>
          <w:szCs w:val="32"/>
        </w:rPr>
        <w:t>（三）国有资产占用情况说明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0.00</w:t>
      </w:r>
      <w:r>
        <w:rPr>
          <w:rFonts w:hint="eastAsia" w:ascii="仿宋_GB2312" w:eastAsia="仿宋_GB2312"/>
          <w:sz w:val="32"/>
          <w:szCs w:val="32"/>
        </w:rPr>
        <w:t>（平方米），价值</w:t>
      </w:r>
      <w:r>
        <w:rPr>
          <w:rFonts w:ascii="仿宋_GB2312" w:eastAsia="仿宋_GB2312"/>
          <w:sz w:val="32"/>
          <w:szCs w:val="32"/>
        </w:rPr>
        <w:t>0.00</w:t>
      </w:r>
      <w:r>
        <w:rPr>
          <w:rFonts w:hint="eastAsia" w:ascii="仿宋_GB2312" w:eastAsia="仿宋_GB2312"/>
          <w:sz w:val="32"/>
          <w:szCs w:val="32"/>
        </w:rPr>
        <w:t>万元。车辆</w:t>
      </w:r>
      <w:r>
        <w:rPr>
          <w:rFonts w:ascii="仿宋_GB2312" w:eastAsia="仿宋_GB2312"/>
          <w:sz w:val="32"/>
          <w:szCs w:val="32"/>
        </w:rPr>
        <w:t>17</w:t>
      </w:r>
      <w:r>
        <w:rPr>
          <w:rFonts w:hint="eastAsia" w:ascii="仿宋_GB2312" w:eastAsia="仿宋_GB2312"/>
          <w:sz w:val="32"/>
          <w:szCs w:val="32"/>
        </w:rPr>
        <w:t>辆，价值</w:t>
      </w:r>
      <w:r>
        <w:rPr>
          <w:rFonts w:ascii="仿宋_GB2312" w:eastAsia="仿宋_GB2312"/>
          <w:sz w:val="32"/>
          <w:szCs w:val="32"/>
        </w:rPr>
        <w:t>368.69</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1</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16</w:t>
      </w:r>
      <w:r>
        <w:rPr>
          <w:rFonts w:hint="eastAsia" w:ascii="仿宋_GB2312" w:eastAsia="仿宋_GB2312"/>
          <w:sz w:val="32"/>
          <w:szCs w:val="32"/>
        </w:rPr>
        <w:t>辆，其他用车主要是：一般公务用车；单位价值50万元以上通用设备</w:t>
      </w:r>
      <w:r>
        <w:rPr>
          <w:rFonts w:ascii="仿宋_GB2312" w:eastAsia="仿宋_GB2312"/>
          <w:sz w:val="32"/>
          <w:szCs w:val="32"/>
        </w:rPr>
        <w:t>1</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0" w:name="_Toc435"/>
      <w:bookmarkStart w:id="31" w:name="_Toc11283"/>
      <w:r>
        <w:rPr>
          <w:rFonts w:hint="eastAsia" w:ascii="黑体" w:hAnsi="黑体" w:eastAsia="黑体" w:cs="宋体"/>
          <w:bCs/>
          <w:kern w:val="0"/>
          <w:sz w:val="32"/>
          <w:szCs w:val="32"/>
        </w:rPr>
        <w:t>十一、预算绩效的情况说明</w:t>
      </w:r>
      <w:bookmarkEnd w:id="30"/>
      <w:bookmarkEnd w:id="3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w:t>
      </w:r>
      <w:r>
        <w:rPr>
          <w:rFonts w:hint="eastAsia" w:ascii="仿宋_GB2312" w:eastAsia="仿宋_GB2312"/>
          <w:sz w:val="32"/>
          <w:szCs w:val="32"/>
          <w:lang w:val="en-US" w:eastAsia="zh-CN"/>
        </w:rPr>
        <w:t>4</w:t>
      </w:r>
      <w:r>
        <w:rPr>
          <w:rFonts w:ascii="仿宋_GB2312" w:eastAsia="仿宋_GB2312"/>
          <w:sz w:val="32"/>
          <w:szCs w:val="32"/>
        </w:rPr>
        <w:t>个，共涉及资金</w:t>
      </w:r>
      <w:r>
        <w:rPr>
          <w:rFonts w:hint="eastAsia" w:ascii="仿宋_GB2312" w:eastAsia="仿宋_GB2312"/>
          <w:sz w:val="32"/>
          <w:szCs w:val="32"/>
          <w:lang w:val="en-US" w:eastAsia="zh-CN"/>
        </w:rPr>
        <w:t>235.93</w:t>
      </w:r>
      <w:r>
        <w:rPr>
          <w:rFonts w:ascii="仿宋_GB2312" w:eastAsia="仿宋_GB2312"/>
          <w:sz w:val="32"/>
          <w:szCs w:val="32"/>
        </w:rPr>
        <w:t>万元。预算绩效管理取得的成效：一是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二是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发现的问题及原因：一是绩效预算认识不够充分，绩效理念有待进一步强化。部门绩效管理理念尚未牢固树立，绩效管理专业次员匮乏。单位对全面实施绩效管理认识不够，绩效水平不高，单位内部绩效管理工作力量薄弱，多数以财务次员牵头开展绩效管理，工作推动机制不全，业务次员业务能力和素质还有待进一步提升。二是绩效档案归档工作有待提高。对档案工作重视程度不高，意识淡薄。单位次员对绩效档案管理工作重视程度不够，不注重关键时间节点材料的鉴定归档，造成绩效管理工作档案缺失。单位次员对档案管理工作缺少针对性和目的性，对绩效档案工作重要性的认识不足，缺乏熟练的业务知识，使绩效档案管理与实际业务存在一定偏差，未发挥其综合价值。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下一步改进措施：一是加强培训，提高相关次员工作水平。采取多种培训形式对单位财务次员、业务科室次员进行集中培训，进一步树牢绩效观念，提高本单位工作次员的绩效管理能力和工作水平，为预算绩效管理相关工作的顺利开展提供保障。二是扎实推进档案规范化建设，提升档案管理水平。进一步完善项目评价资料。项目启动时同步做好档案的归纳与整理，及时整理、收集、汇总，健全档案资料。严格落实喀什地区关于绩效管理工作档案资料归档的相关要求，强化收集力度，确保归档资料的完整齐全。三是高度重视，加强领导。高度重视，加强领导，精心组织。项目绩效领导小组对绩效评价工作进行指导、监督、检查，确保项目绩效评价反映项目完成真实情况。严格执行项目绩效评价工作要求，切实提高项目绩效报告的客观性和公正性。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2" w:name="_Toc24143"/>
      <w:bookmarkStart w:id="33" w:name="_Toc3250"/>
      <w:r>
        <w:rPr>
          <w:rFonts w:hint="eastAsia" w:ascii="黑体" w:hAnsi="黑体" w:eastAsia="黑体"/>
          <w:sz w:val="32"/>
          <w:szCs w:val="32"/>
        </w:rPr>
        <w:t>第三部分 专业名词解释</w:t>
      </w:r>
      <w:bookmarkEnd w:id="32"/>
      <w:bookmarkEnd w:id="33"/>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4" w:name="_Toc28903"/>
      <w:bookmarkStart w:id="35"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4"/>
      <w:bookmarkEnd w:id="35"/>
    </w:p>
    <w:p>
      <w:pPr>
        <w:ind w:firstLine="640" w:firstLineChars="200"/>
        <w:outlineLvl w:val="1"/>
        <w:rPr>
          <w:rFonts w:ascii="黑体" w:hAnsi="黑体" w:eastAsia="黑体" w:cs="宋体"/>
          <w:bCs/>
          <w:kern w:val="0"/>
          <w:sz w:val="32"/>
          <w:szCs w:val="32"/>
        </w:rPr>
      </w:pPr>
      <w:bookmarkStart w:id="36" w:name="_Toc2183"/>
      <w:bookmarkStart w:id="37" w:name="_Toc6062"/>
      <w:r>
        <w:rPr>
          <w:rFonts w:hint="eastAsia" w:ascii="黑体" w:hAnsi="黑体" w:eastAsia="黑体" w:cs="宋体"/>
          <w:bCs/>
          <w:kern w:val="0"/>
          <w:sz w:val="32"/>
          <w:szCs w:val="32"/>
        </w:rPr>
        <w:t>一、《收入支出决算总表》</w:t>
      </w:r>
      <w:bookmarkEnd w:id="36"/>
      <w:bookmarkEnd w:id="37"/>
    </w:p>
    <w:p>
      <w:pPr>
        <w:ind w:firstLine="640" w:firstLineChars="200"/>
        <w:outlineLvl w:val="1"/>
        <w:rPr>
          <w:rFonts w:ascii="黑体" w:hAnsi="黑体" w:eastAsia="黑体" w:cs="宋体"/>
          <w:bCs/>
          <w:kern w:val="0"/>
          <w:sz w:val="32"/>
          <w:szCs w:val="32"/>
        </w:rPr>
      </w:pPr>
      <w:bookmarkStart w:id="38" w:name="_Toc24532"/>
      <w:bookmarkStart w:id="39" w:name="_Toc30364"/>
      <w:r>
        <w:rPr>
          <w:rFonts w:hint="eastAsia" w:ascii="黑体" w:hAnsi="黑体" w:eastAsia="黑体" w:cs="宋体"/>
          <w:bCs/>
          <w:kern w:val="0"/>
          <w:sz w:val="32"/>
          <w:szCs w:val="32"/>
        </w:rPr>
        <w:t>二、《收入决算表》</w:t>
      </w:r>
      <w:bookmarkEnd w:id="38"/>
      <w:bookmarkEnd w:id="39"/>
    </w:p>
    <w:p>
      <w:pPr>
        <w:ind w:firstLine="640" w:firstLineChars="200"/>
        <w:outlineLvl w:val="1"/>
        <w:rPr>
          <w:rFonts w:ascii="黑体" w:hAnsi="黑体" w:eastAsia="黑体" w:cs="宋体"/>
          <w:bCs/>
          <w:kern w:val="0"/>
          <w:sz w:val="32"/>
          <w:szCs w:val="32"/>
        </w:rPr>
      </w:pPr>
      <w:bookmarkStart w:id="40" w:name="_Toc21304"/>
      <w:bookmarkStart w:id="41" w:name="_Toc32434"/>
      <w:r>
        <w:rPr>
          <w:rFonts w:hint="eastAsia" w:ascii="黑体" w:hAnsi="黑体" w:eastAsia="黑体" w:cs="宋体"/>
          <w:bCs/>
          <w:kern w:val="0"/>
          <w:sz w:val="32"/>
          <w:szCs w:val="32"/>
        </w:rPr>
        <w:t>三、《支出决算表》</w:t>
      </w:r>
      <w:bookmarkEnd w:id="40"/>
      <w:bookmarkEnd w:id="41"/>
    </w:p>
    <w:p>
      <w:pPr>
        <w:ind w:firstLine="640" w:firstLineChars="200"/>
        <w:outlineLvl w:val="1"/>
        <w:rPr>
          <w:rFonts w:ascii="黑体" w:hAnsi="黑体" w:eastAsia="黑体" w:cs="宋体"/>
          <w:bCs/>
          <w:kern w:val="0"/>
          <w:sz w:val="32"/>
          <w:szCs w:val="32"/>
        </w:rPr>
      </w:pPr>
      <w:bookmarkStart w:id="42" w:name="_Toc14238"/>
      <w:bookmarkStart w:id="43" w:name="_Toc28786"/>
      <w:r>
        <w:rPr>
          <w:rFonts w:hint="eastAsia" w:ascii="黑体" w:hAnsi="黑体" w:eastAsia="黑体" w:cs="宋体"/>
          <w:bCs/>
          <w:kern w:val="0"/>
          <w:sz w:val="32"/>
          <w:szCs w:val="32"/>
        </w:rPr>
        <w:t>四、《财政拨款收入支出决算总表》</w:t>
      </w:r>
      <w:bookmarkEnd w:id="42"/>
      <w:bookmarkEnd w:id="43"/>
    </w:p>
    <w:p>
      <w:pPr>
        <w:ind w:firstLine="640" w:firstLineChars="200"/>
        <w:outlineLvl w:val="1"/>
        <w:rPr>
          <w:rFonts w:ascii="黑体" w:hAnsi="黑体" w:eastAsia="黑体" w:cs="宋体"/>
          <w:bCs/>
          <w:kern w:val="0"/>
          <w:sz w:val="32"/>
          <w:szCs w:val="32"/>
        </w:rPr>
      </w:pPr>
      <w:bookmarkStart w:id="44" w:name="_Toc10347"/>
      <w:bookmarkStart w:id="45" w:name="_Toc14869"/>
      <w:r>
        <w:rPr>
          <w:rFonts w:hint="eastAsia" w:ascii="黑体" w:hAnsi="黑体" w:eastAsia="黑体" w:cs="宋体"/>
          <w:bCs/>
          <w:kern w:val="0"/>
          <w:sz w:val="32"/>
          <w:szCs w:val="32"/>
        </w:rPr>
        <w:t>五、《一般公共预算财政拨款支出决算表》</w:t>
      </w:r>
      <w:bookmarkEnd w:id="44"/>
      <w:bookmarkEnd w:id="45"/>
    </w:p>
    <w:p>
      <w:pPr>
        <w:ind w:firstLine="640" w:firstLineChars="200"/>
        <w:outlineLvl w:val="1"/>
        <w:rPr>
          <w:rFonts w:ascii="黑体" w:hAnsi="黑体" w:eastAsia="黑体" w:cs="宋体"/>
          <w:bCs/>
          <w:kern w:val="0"/>
          <w:sz w:val="32"/>
          <w:szCs w:val="32"/>
        </w:rPr>
      </w:pPr>
      <w:bookmarkStart w:id="46" w:name="_Toc5626"/>
      <w:bookmarkStart w:id="47" w:name="_Toc8884"/>
      <w:r>
        <w:rPr>
          <w:rFonts w:hint="eastAsia" w:ascii="黑体" w:hAnsi="黑体" w:eastAsia="黑体" w:cs="宋体"/>
          <w:bCs/>
          <w:kern w:val="0"/>
          <w:sz w:val="32"/>
          <w:szCs w:val="32"/>
        </w:rPr>
        <w:t>六、《一般公共预算财政拨款基本支出决算表》</w:t>
      </w:r>
      <w:bookmarkEnd w:id="46"/>
      <w:bookmarkEnd w:id="47"/>
    </w:p>
    <w:p>
      <w:pPr>
        <w:ind w:firstLine="640" w:firstLineChars="200"/>
        <w:outlineLvl w:val="1"/>
        <w:rPr>
          <w:rFonts w:ascii="黑体" w:hAnsi="黑体" w:eastAsia="黑体" w:cs="宋体"/>
          <w:bCs/>
          <w:kern w:val="0"/>
          <w:sz w:val="32"/>
          <w:szCs w:val="32"/>
        </w:rPr>
      </w:pPr>
      <w:bookmarkStart w:id="48" w:name="_Toc29106"/>
      <w:bookmarkStart w:id="49" w:name="_Toc32663"/>
      <w:r>
        <w:rPr>
          <w:rFonts w:hint="eastAsia" w:ascii="黑体" w:hAnsi="黑体" w:eastAsia="黑体" w:cs="宋体"/>
          <w:bCs/>
          <w:kern w:val="0"/>
          <w:sz w:val="32"/>
          <w:szCs w:val="32"/>
        </w:rPr>
        <w:t>七、《一般公共预算财政拨款“三公”经费支出决算表》</w:t>
      </w:r>
      <w:bookmarkEnd w:id="48"/>
      <w:bookmarkEnd w:id="49"/>
    </w:p>
    <w:p>
      <w:pPr>
        <w:ind w:firstLine="640" w:firstLineChars="200"/>
        <w:outlineLvl w:val="1"/>
        <w:rPr>
          <w:rFonts w:ascii="黑体" w:hAnsi="黑体" w:eastAsia="黑体" w:cs="宋体"/>
          <w:bCs/>
          <w:kern w:val="0"/>
          <w:sz w:val="32"/>
          <w:szCs w:val="32"/>
        </w:rPr>
      </w:pPr>
      <w:bookmarkStart w:id="50" w:name="_Toc7643"/>
      <w:bookmarkStart w:id="51" w:name="_Toc5453"/>
      <w:r>
        <w:rPr>
          <w:rFonts w:hint="eastAsia" w:ascii="黑体" w:hAnsi="黑体" w:eastAsia="黑体" w:cs="宋体"/>
          <w:bCs/>
          <w:kern w:val="0"/>
          <w:sz w:val="32"/>
          <w:szCs w:val="32"/>
        </w:rPr>
        <w:t>八、《政府性基金预算财政拨款收入支出决算表》</w:t>
      </w:r>
      <w:bookmarkEnd w:id="50"/>
      <w:bookmarkEnd w:id="51"/>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EwMTFjZmI3NWUwMGRmYWEyNzFiMzQ2OTlkZWE5ODAifQ=="/>
  </w:docVars>
  <w:rsids>
    <w:rsidRoot w:val="006B7B8C"/>
    <w:rsid w:val="00014AAB"/>
    <w:rsid w:val="00015801"/>
    <w:rsid w:val="0002486D"/>
    <w:rsid w:val="0006149B"/>
    <w:rsid w:val="00062388"/>
    <w:rsid w:val="000731DE"/>
    <w:rsid w:val="00082B96"/>
    <w:rsid w:val="000874C6"/>
    <w:rsid w:val="0008763B"/>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273C5E"/>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D200F"/>
    <w:rsid w:val="007E51A8"/>
    <w:rsid w:val="007E5754"/>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07B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BF6412"/>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4CF3C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092104"/>
    <w:rsid w:val="280B5AF9"/>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73512F"/>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5E25894"/>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Char"/>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6246</Words>
  <Characters>6879</Characters>
  <Lines>56</Lines>
  <Paragraphs>15</Paragraphs>
  <TotalTime>299</TotalTime>
  <ScaleCrop>false</ScaleCrop>
  <LinksUpToDate>false</LinksUpToDate>
  <CharactersWithSpaces>6949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2022-10-10T08:54:00Z</dcterms:created>
  <dc:creator>GXR</dc:creator>
  <cp:lastModifiedBy>lenovo</cp:lastModifiedBy>
  <dcterms:modified xsi:type="dcterms:W3CDTF">2023-08-14T08:58:51Z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59D8F543E4BF4B5F9BA261246CAB409B</vt:lpwstr>
  </property>
</Properties>
</file>