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52</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巴楚县2025年脱贫人口或监测对象</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公益性岗位补贴项目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巴楚县人力资源和社会保障局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乡村振兴任务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335.225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安排用于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“巴楚县2025年脱贫人口或监测对象公益性岗位补贴项目”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2160.9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bookmarkStart w:id="0" w:name="_GoBack"/>
      <w:bookmarkEnd w:id="0"/>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C9A0B6B"/>
    <w:rsid w:val="0E6B63FB"/>
    <w:rsid w:val="0F7D6BD3"/>
    <w:rsid w:val="0FFF5A78"/>
    <w:rsid w:val="10B96463"/>
    <w:rsid w:val="127F51FD"/>
    <w:rsid w:val="14461DD3"/>
    <w:rsid w:val="18133F7A"/>
    <w:rsid w:val="197C3FEF"/>
    <w:rsid w:val="1A290D71"/>
    <w:rsid w:val="1BB10204"/>
    <w:rsid w:val="1D1A2E0F"/>
    <w:rsid w:val="1E7C3896"/>
    <w:rsid w:val="2091227E"/>
    <w:rsid w:val="221E0850"/>
    <w:rsid w:val="292F6B09"/>
    <w:rsid w:val="2A7071C0"/>
    <w:rsid w:val="2B192322"/>
    <w:rsid w:val="2B376424"/>
    <w:rsid w:val="2CB27308"/>
    <w:rsid w:val="2FD448EB"/>
    <w:rsid w:val="2FF83403"/>
    <w:rsid w:val="309865EE"/>
    <w:rsid w:val="30A07CEB"/>
    <w:rsid w:val="375F6E7F"/>
    <w:rsid w:val="391B693C"/>
    <w:rsid w:val="396F313C"/>
    <w:rsid w:val="39E700C1"/>
    <w:rsid w:val="3ABB2B87"/>
    <w:rsid w:val="3B7F799A"/>
    <w:rsid w:val="3BB51553"/>
    <w:rsid w:val="3E377373"/>
    <w:rsid w:val="41A34075"/>
    <w:rsid w:val="440D504C"/>
    <w:rsid w:val="44121AD8"/>
    <w:rsid w:val="44F741C4"/>
    <w:rsid w:val="49291E93"/>
    <w:rsid w:val="4FC24A2C"/>
    <w:rsid w:val="544058CB"/>
    <w:rsid w:val="564B12A7"/>
    <w:rsid w:val="57DB7CE5"/>
    <w:rsid w:val="5BEF7BF5"/>
    <w:rsid w:val="5DCF1E40"/>
    <w:rsid w:val="5DFB5561"/>
    <w:rsid w:val="5F0614E5"/>
    <w:rsid w:val="5F720F48"/>
    <w:rsid w:val="60C83FF4"/>
    <w:rsid w:val="67E460DE"/>
    <w:rsid w:val="6BC16CA3"/>
    <w:rsid w:val="6C2B2AD3"/>
    <w:rsid w:val="6C556531"/>
    <w:rsid w:val="6EBF7ACE"/>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