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left"/>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关于巴楚县2022年度政府决算情况的报告</w:t>
      </w:r>
    </w:p>
    <w:p>
      <w:pPr>
        <w:pStyle w:val="7"/>
        <w:keepNext w:val="0"/>
        <w:keepLines w:val="0"/>
        <w:pageBreakBefore w:val="0"/>
        <w:kinsoku/>
        <w:wordWrap/>
        <w:overflowPunct/>
        <w:topLinePunct w:val="0"/>
        <w:autoSpaceDE/>
        <w:autoSpaceDN/>
        <w:bidi w:val="0"/>
        <w:adjustRightInd/>
        <w:spacing w:line="560" w:lineRule="exact"/>
        <w:ind w:left="0" w:leftChars="0" w:firstLine="440" w:firstLineChars="200"/>
        <w:jc w:val="left"/>
        <w:textAlignment w:val="auto"/>
        <w:outlineLvl w:val="9"/>
        <w:rPr>
          <w:rFonts w:hint="default" w:ascii="Times New Roman" w:hAnsi="Times New Roman" w:cs="Times New Roman"/>
          <w:sz w:val="22"/>
          <w:szCs w:val="28"/>
          <w:highlight w:val="none"/>
        </w:rPr>
      </w:pPr>
    </w:p>
    <w:p>
      <w:pPr>
        <w:pStyle w:val="4"/>
        <w:spacing w:before="101" w:line="540" w:lineRule="exact"/>
        <w:ind w:left="105" w:firstLine="57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7"/>
          <w:position w:val="16"/>
          <w:sz w:val="32"/>
          <w:szCs w:val="32"/>
        </w:rPr>
        <w:t>——2022年</w:t>
      </w:r>
      <w:r>
        <w:rPr>
          <w:rFonts w:hint="eastAsia" w:ascii="Times New Roman" w:hAnsi="Times New Roman" w:eastAsia="方正仿宋简体" w:cs="Times New Roman"/>
          <w:spacing w:val="-17"/>
          <w:position w:val="16"/>
          <w:sz w:val="32"/>
          <w:szCs w:val="32"/>
          <w:lang w:val="en-US" w:eastAsia="zh-CN"/>
        </w:rPr>
        <w:t>10</w:t>
      </w:r>
      <w:r>
        <w:rPr>
          <w:rFonts w:hint="default" w:ascii="Times New Roman" w:hAnsi="Times New Roman" w:eastAsia="方正仿宋简体" w:cs="Times New Roman"/>
          <w:spacing w:val="-17"/>
          <w:position w:val="16"/>
          <w:sz w:val="32"/>
          <w:szCs w:val="32"/>
        </w:rPr>
        <w:t>月2</w:t>
      </w:r>
      <w:r>
        <w:rPr>
          <w:rFonts w:hint="eastAsia" w:ascii="Times New Roman" w:hAnsi="Times New Roman" w:eastAsia="方正仿宋简体" w:cs="Times New Roman"/>
          <w:spacing w:val="-17"/>
          <w:position w:val="16"/>
          <w:sz w:val="32"/>
          <w:szCs w:val="32"/>
          <w:lang w:val="en-US" w:eastAsia="zh-CN"/>
        </w:rPr>
        <w:t>7</w:t>
      </w:r>
      <w:r>
        <w:rPr>
          <w:rFonts w:hint="default" w:ascii="Times New Roman" w:hAnsi="Times New Roman" w:eastAsia="方正仿宋简体" w:cs="Times New Roman"/>
          <w:spacing w:val="-17"/>
          <w:position w:val="16"/>
          <w:sz w:val="32"/>
          <w:szCs w:val="32"/>
        </w:rPr>
        <w:t>日在巴楚县第17届人大常委会第</w:t>
      </w:r>
      <w:r>
        <w:rPr>
          <w:rFonts w:hint="eastAsia" w:ascii="Times New Roman" w:hAnsi="Times New Roman" w:eastAsia="方正仿宋简体" w:cs="Times New Roman"/>
          <w:spacing w:val="-17"/>
          <w:position w:val="16"/>
          <w:sz w:val="32"/>
          <w:szCs w:val="32"/>
          <w:lang w:val="en-US" w:eastAsia="zh-CN"/>
        </w:rPr>
        <w:t>12</w:t>
      </w:r>
      <w:r>
        <w:rPr>
          <w:rFonts w:hint="default" w:ascii="Times New Roman" w:hAnsi="Times New Roman" w:eastAsia="方正仿宋简体" w:cs="Times New Roman"/>
          <w:spacing w:val="-17"/>
          <w:position w:val="16"/>
          <w:sz w:val="32"/>
          <w:szCs w:val="32"/>
        </w:rPr>
        <w:t>次会</w:t>
      </w:r>
      <w:r>
        <w:rPr>
          <w:rFonts w:hint="default" w:ascii="Times New Roman" w:hAnsi="Times New Roman" w:eastAsia="方正仿宋简体" w:cs="Times New Roman"/>
          <w:spacing w:val="-18"/>
          <w:position w:val="16"/>
          <w:sz w:val="32"/>
          <w:szCs w:val="32"/>
        </w:rPr>
        <w:t>议上</w:t>
      </w:r>
    </w:p>
    <w:p>
      <w:pPr>
        <w:pStyle w:val="4"/>
        <w:spacing w:line="228" w:lineRule="auto"/>
        <w:ind w:left="2548"/>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巴楚县财政局局长朱燕</w:t>
      </w:r>
    </w:p>
    <w:p>
      <w:pPr>
        <w:spacing w:line="296" w:lineRule="auto"/>
        <w:rPr>
          <w:rFonts w:hint="default" w:ascii="Times New Roman" w:hAnsi="Times New Roman" w:eastAsia="方正仿宋简体" w:cs="Times New Roman"/>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5" w:firstLineChars="200"/>
        <w:jc w:val="left"/>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8"/>
          <w:sz w:val="32"/>
          <w:szCs w:val="32"/>
          <w14:textOutline w14:w="5793" w14:cap="sq" w14:cmpd="sng">
            <w14:solidFill>
              <w14:srgbClr w14:val="000000"/>
            </w14:solidFill>
            <w14:prstDash w14:val="solid"/>
            <w14:bevel/>
          </w14:textOutline>
        </w:rPr>
        <w:t>主任、各位副主任，各位委员：</w:t>
      </w:r>
    </w:p>
    <w:p>
      <w:pPr>
        <w:pStyle w:val="4"/>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eastAsia" w:ascii="Times New Roman" w:hAnsi="Times New Roman" w:eastAsia="方正仿宋简体" w:cs="Times New Roman"/>
          <w:color w:val="000000"/>
          <w:kern w:val="0"/>
          <w:sz w:val="32"/>
          <w:szCs w:val="32"/>
          <w:highlight w:val="none"/>
          <w:lang w:eastAsia="zh-CN"/>
        </w:rPr>
      </w:pPr>
      <w:r>
        <w:rPr>
          <w:rFonts w:hint="default" w:ascii="Times New Roman" w:hAnsi="Times New Roman" w:eastAsia="方正仿宋简体" w:cs="Times New Roman"/>
          <w:color w:val="auto"/>
          <w:spacing w:val="4"/>
          <w:sz w:val="32"/>
          <w:szCs w:val="32"/>
          <w:lang w:val="en-US" w:eastAsia="zh-CN"/>
        </w:rPr>
        <w:t>根据《中华人民共和国预算法》和《中华人民共和国各级人民代表大会常务委员会监督法》的有关规定，我受县人民政府委托，向本次人大常委会议报告202</w:t>
      </w:r>
      <w:r>
        <w:rPr>
          <w:rFonts w:hint="eastAsia" w:ascii="Times New Roman" w:hAnsi="Times New Roman" w:eastAsia="方正仿宋简体" w:cs="Times New Roman"/>
          <w:color w:val="auto"/>
          <w:spacing w:val="4"/>
          <w:sz w:val="32"/>
          <w:szCs w:val="32"/>
          <w:lang w:val="en-US" w:eastAsia="zh-CN"/>
        </w:rPr>
        <w:t>2</w:t>
      </w:r>
      <w:r>
        <w:rPr>
          <w:rFonts w:hint="default" w:ascii="Times New Roman" w:hAnsi="Times New Roman" w:eastAsia="方正仿宋简体" w:cs="Times New Roman"/>
          <w:color w:val="auto"/>
          <w:spacing w:val="4"/>
          <w:sz w:val="32"/>
          <w:szCs w:val="32"/>
          <w:lang w:val="en-US" w:eastAsia="zh-CN"/>
        </w:rPr>
        <w:t>年度财政决算情况，请予审议。</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000000"/>
          <w:kern w:val="0"/>
          <w:sz w:val="32"/>
          <w:szCs w:val="32"/>
          <w:highlight w:val="none"/>
        </w:rPr>
      </w:pPr>
      <w:r>
        <w:rPr>
          <w:rFonts w:hint="eastAsia" w:ascii="方正黑体简体" w:hAnsi="方正黑体简体" w:eastAsia="方正黑体简体" w:cs="方正黑体简体"/>
          <w:color w:val="000000"/>
          <w:kern w:val="0"/>
          <w:sz w:val="32"/>
          <w:szCs w:val="32"/>
          <w:highlight w:val="none"/>
        </w:rPr>
        <w:t>一、</w:t>
      </w:r>
      <w:r>
        <w:rPr>
          <w:rFonts w:hint="eastAsia" w:ascii="方正黑体简体" w:hAnsi="方正黑体简体" w:eastAsia="方正黑体简体" w:cs="方正黑体简体"/>
          <w:color w:val="000000"/>
          <w:kern w:val="0"/>
          <w:sz w:val="32"/>
          <w:szCs w:val="32"/>
          <w:highlight w:val="none"/>
          <w:lang w:eastAsia="zh-CN"/>
        </w:rPr>
        <w:t>2022年</w:t>
      </w:r>
      <w:r>
        <w:rPr>
          <w:rFonts w:hint="eastAsia" w:ascii="方正黑体简体" w:hAnsi="方正黑体简体" w:eastAsia="方正黑体简体" w:cs="方正黑体简体"/>
          <w:color w:val="000000"/>
          <w:kern w:val="0"/>
          <w:sz w:val="32"/>
          <w:szCs w:val="32"/>
          <w:highlight w:val="none"/>
        </w:rPr>
        <w:t>财政预算执行情况</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（一）一般公共预算执行情况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9"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spacing w:val="4"/>
          <w:sz w:val="32"/>
          <w:szCs w:val="32"/>
          <w:highlight w:val="none"/>
        </w:rPr>
        <w:t>收入情况：</w:t>
      </w:r>
      <w:r>
        <w:rPr>
          <w:rFonts w:hint="default" w:ascii="Times New Roman" w:hAnsi="Times New Roman" w:eastAsia="方正仿宋简体" w:cs="Times New Roman"/>
          <w:color w:val="auto"/>
          <w:kern w:val="0"/>
          <w:sz w:val="32"/>
          <w:szCs w:val="32"/>
          <w:highlight w:val="none"/>
          <w:lang w:val="en-US" w:eastAsia="zh-CN"/>
        </w:rPr>
        <w:t>2022年一般公共预算收入完成39230万元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完成年初预算38738万元的101.27%</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比序时进度增长1.27个百分点</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比上年同期35212万元增加4018万元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增长11.41%</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其中：税收收入完成15358万元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完成预算26389万元的58.20%</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比上年22938万元减收7580万元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下降33.05%</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占一般公共预算收入的比重为39.15%；非税收入完成23872万元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完成预算12349万元的193.30%</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比上年12274万元增收11598万元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增长48.58%</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占一般公共预算收入的比重为60.85%</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较上年同期增长了25.99个百分点</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收入质量有所下降。上级补助收入467995万元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上年结余48920万元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调入资金9216万元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一般债务转贷收入20420万元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动用预算稳定调节基金275万元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收入总量586056万元。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59" w:firstLineChars="200"/>
        <w:jc w:val="both"/>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auto"/>
          <w:spacing w:val="4"/>
          <w:sz w:val="32"/>
          <w:szCs w:val="32"/>
          <w:highlight w:val="none"/>
        </w:rPr>
        <w:t>支出情况：</w:t>
      </w:r>
      <w:r>
        <w:rPr>
          <w:rFonts w:hint="default" w:ascii="Times New Roman" w:hAnsi="Times New Roman" w:eastAsia="方正仿宋简体" w:cs="Times New Roman"/>
          <w:color w:val="auto"/>
          <w:kern w:val="0"/>
          <w:sz w:val="32"/>
          <w:szCs w:val="32"/>
          <w:highlight w:val="none"/>
          <w:lang w:val="en-US" w:eastAsia="zh-CN"/>
        </w:rPr>
        <w:t>一般公共预算支出完成538012万元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比上年同期574155万元减少36143万元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下降6.29%；上解上级支出753万元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债务还本支出13108万元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安排预算稳定调节基金492万元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支出总量552365万元。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auto"/>
          <w:kern w:val="0"/>
          <w:sz w:val="32"/>
          <w:szCs w:val="32"/>
          <w:highlight w:val="none"/>
        </w:rPr>
        <w:t>平衡情况：</w:t>
      </w:r>
      <w:r>
        <w:rPr>
          <w:rFonts w:hint="default" w:ascii="Times New Roman" w:hAnsi="Times New Roman" w:eastAsia="方正仿宋简体" w:cs="Times New Roman"/>
          <w:color w:val="auto"/>
          <w:kern w:val="0"/>
          <w:sz w:val="32"/>
          <w:szCs w:val="32"/>
          <w:highlight w:val="none"/>
          <w:lang w:val="en-US" w:eastAsia="zh-CN"/>
        </w:rPr>
        <w:t>收支相抵</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年终结转33691万元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其中：结转下年支出33691万元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净结余为零。</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（二）政府性基金执行情况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spacing w:val="4"/>
          <w:sz w:val="32"/>
          <w:szCs w:val="32"/>
          <w:highlight w:val="none"/>
        </w:rPr>
        <w:t>收入情况：</w:t>
      </w:r>
      <w:r>
        <w:rPr>
          <w:rFonts w:hint="default" w:ascii="Times New Roman" w:hAnsi="Times New Roman" w:eastAsia="方正仿宋简体" w:cs="Times New Roman"/>
          <w:color w:val="auto"/>
          <w:kern w:val="0"/>
          <w:sz w:val="32"/>
          <w:szCs w:val="32"/>
          <w:highlight w:val="none"/>
          <w:lang w:val="en-US" w:eastAsia="zh-CN"/>
        </w:rPr>
        <w:t>2022年政府性基金收入28041万元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完成预算52265万元的53.65%</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比上年同期21764万元增收6277万元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增长28.84%。其中：国有土地使用权出让收入15337万元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比上年16783万元减收1446万元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下降8.62%；城市基础设施配套费收入1532万元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比上年342万元增收1190万元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增长347.95%。上级补助收入603万元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b w:val="0"/>
          <w:bCs w:val="0"/>
          <w:snapToGrid w:val="0"/>
          <w:color w:val="auto"/>
          <w:kern w:val="0"/>
          <w:sz w:val="32"/>
          <w:szCs w:val="32"/>
          <w:highlight w:val="none"/>
          <w:lang w:val="en-US" w:eastAsia="zh-CN"/>
        </w:rPr>
        <w:t>上年结余396万元</w:t>
      </w:r>
      <w:r>
        <w:rPr>
          <w:rFonts w:hint="eastAsia" w:ascii="Times New Roman" w:hAnsi="Times New Roman" w:eastAsia="方正仿宋简体" w:cs="Times New Roman"/>
          <w:b w:val="0"/>
          <w:bCs w:val="0"/>
          <w:snapToGrid w:val="0"/>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专项债务转贷收入96000万元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收入总量125040万元。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left"/>
        <w:textAlignment w:val="auto"/>
        <w:outlineLvl w:val="9"/>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b/>
          <w:spacing w:val="4"/>
          <w:sz w:val="32"/>
          <w:szCs w:val="32"/>
          <w:highlight w:val="none"/>
        </w:rPr>
        <w:t>支出情况：</w:t>
      </w:r>
      <w:r>
        <w:rPr>
          <w:rFonts w:hint="default" w:ascii="Times New Roman" w:hAnsi="Times New Roman" w:eastAsia="方正仿宋简体" w:cs="Times New Roman"/>
          <w:color w:val="auto"/>
          <w:kern w:val="0"/>
          <w:sz w:val="32"/>
          <w:szCs w:val="32"/>
          <w:highlight w:val="none"/>
          <w:lang w:val="en-US" w:eastAsia="zh-CN"/>
        </w:rPr>
        <w:t>政府性基金预算支出108345万元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完成年初预算52265万元的107.30%</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比上年同期205345万元减支97000万元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下降47.24%；上解上级支出0万元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调出资金8213万元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支出总量116558万元。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平衡情况：</w:t>
      </w:r>
      <w:r>
        <w:rPr>
          <w:rFonts w:hint="default" w:ascii="Times New Roman" w:hAnsi="Times New Roman" w:eastAsia="方正仿宋简体" w:cs="Times New Roman"/>
          <w:color w:val="auto"/>
          <w:kern w:val="0"/>
          <w:sz w:val="32"/>
          <w:szCs w:val="32"/>
          <w:highlight w:val="none"/>
          <w:lang w:val="en-US" w:eastAsia="zh-CN"/>
        </w:rPr>
        <w:t>收支相抵</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政府性基金年终结转8482万元。</w:t>
      </w:r>
    </w:p>
    <w:p>
      <w:pPr>
        <w:pStyle w:val="10"/>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（三）国有资本经营预算执行情况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left"/>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spacing w:val="4"/>
          <w:sz w:val="32"/>
          <w:szCs w:val="32"/>
          <w:highlight w:val="none"/>
        </w:rPr>
        <w:t>收入情况：</w:t>
      </w:r>
      <w:r>
        <w:rPr>
          <w:rFonts w:hint="default" w:ascii="Times New Roman" w:hAnsi="Times New Roman" w:eastAsia="方正仿宋简体" w:cs="Times New Roman"/>
          <w:color w:val="auto"/>
          <w:kern w:val="0"/>
          <w:sz w:val="32"/>
          <w:szCs w:val="32"/>
          <w:highlight w:val="none"/>
          <w:lang w:val="en-US" w:eastAsia="zh-CN"/>
        </w:rPr>
        <w:t>国有资本经营预算收入完成1698万元。上级补助收入2万元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b w:val="0"/>
          <w:bCs w:val="0"/>
          <w:snapToGrid w:val="0"/>
          <w:color w:val="auto"/>
          <w:kern w:val="0"/>
          <w:sz w:val="32"/>
          <w:szCs w:val="32"/>
          <w:highlight w:val="none"/>
          <w:lang w:val="en-US" w:eastAsia="zh-CN"/>
        </w:rPr>
        <w:t>上年结余64万元</w:t>
      </w:r>
      <w:r>
        <w:rPr>
          <w:rFonts w:hint="default" w:ascii="Times New Roman" w:hAnsi="Times New Roman" w:eastAsia="方正仿宋简体" w:cs="Times New Roman"/>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left"/>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spacing w:val="4"/>
          <w:sz w:val="32"/>
          <w:szCs w:val="32"/>
          <w:highlight w:val="none"/>
        </w:rPr>
        <w:t>支出情况：</w:t>
      </w:r>
      <w:r>
        <w:rPr>
          <w:rFonts w:hint="default" w:ascii="Times New Roman" w:hAnsi="Times New Roman" w:eastAsia="方正仿宋简体" w:cs="Times New Roman"/>
          <w:color w:val="auto"/>
          <w:kern w:val="0"/>
          <w:sz w:val="32"/>
          <w:szCs w:val="32"/>
          <w:highlight w:val="none"/>
          <w:lang w:val="en-US" w:eastAsia="zh-CN"/>
        </w:rPr>
        <w:t>国有资本经营预算支出1253万元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调出资金511万元。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平衡情况：</w:t>
      </w:r>
      <w:r>
        <w:rPr>
          <w:rFonts w:hint="default" w:ascii="Times New Roman" w:hAnsi="Times New Roman" w:eastAsia="方正仿宋简体" w:cs="Times New Roman"/>
          <w:color w:val="auto"/>
          <w:kern w:val="0"/>
          <w:sz w:val="32"/>
          <w:szCs w:val="32"/>
          <w:highlight w:val="none"/>
          <w:lang w:val="en-US" w:eastAsia="zh-CN"/>
        </w:rPr>
        <w:t>收支相抵</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国有资本经营年终结转0万元。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（四）社会保险基金预算执行情况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spacing w:val="4"/>
          <w:sz w:val="32"/>
          <w:szCs w:val="32"/>
          <w:highlight w:val="none"/>
        </w:rPr>
        <w:t>收入情况：</w:t>
      </w:r>
      <w:r>
        <w:rPr>
          <w:rFonts w:hint="default" w:ascii="Times New Roman" w:hAnsi="Times New Roman" w:eastAsia="方正仿宋简体" w:cs="Times New Roman"/>
          <w:color w:val="auto"/>
          <w:kern w:val="0"/>
          <w:sz w:val="32"/>
          <w:szCs w:val="32"/>
          <w:highlight w:val="none"/>
          <w:lang w:val="en-US" w:eastAsia="zh-CN"/>
        </w:rPr>
        <w:t>社会保险基金收入39106万元。其中：城乡居民基本养老保险基金收入10428万元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机关事业单位基本养老保险基金收入28678万元。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9"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spacing w:val="4"/>
          <w:sz w:val="32"/>
          <w:szCs w:val="32"/>
          <w:highlight w:val="none"/>
        </w:rPr>
        <w:t>支出情况：</w:t>
      </w:r>
      <w:r>
        <w:rPr>
          <w:rFonts w:hint="default" w:ascii="Times New Roman" w:hAnsi="Times New Roman" w:eastAsia="方正仿宋简体" w:cs="Times New Roman"/>
          <w:color w:val="auto"/>
          <w:kern w:val="0"/>
          <w:sz w:val="32"/>
          <w:szCs w:val="32"/>
          <w:highlight w:val="none"/>
          <w:lang w:val="en-US" w:eastAsia="zh-CN"/>
        </w:rPr>
        <w:t>社会保险基金支出57315万元。其中：城乡居民基本养老保险基金支出5318万元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机关事业单位基本养老保险基金支出51997万元。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color w:val="000000"/>
          <w:kern w:val="0"/>
          <w:sz w:val="32"/>
          <w:szCs w:val="32"/>
          <w:highlight w:val="none"/>
        </w:rPr>
        <w:t>平衡情况：</w:t>
      </w:r>
      <w:r>
        <w:rPr>
          <w:rFonts w:hint="default" w:ascii="Times New Roman" w:hAnsi="Times New Roman" w:eastAsia="方正仿宋简体" w:cs="Times New Roman"/>
          <w:color w:val="auto"/>
          <w:kern w:val="0"/>
          <w:sz w:val="32"/>
          <w:szCs w:val="32"/>
          <w:highlight w:val="none"/>
          <w:lang w:val="en-US" w:eastAsia="zh-CN"/>
        </w:rPr>
        <w:t>收支相抵</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社会保险基金本年结余-18209万元。年末滚存结余47765万元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其中：城乡居民基本养老保险基金滚存结余39334万元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机关事业单位基本养老保险基金滚存结余8431万元。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5" w:firstLineChars="200"/>
        <w:jc w:val="left"/>
        <w:textAlignment w:val="auto"/>
        <w:outlineLvl w:val="9"/>
        <w:rPr>
          <w:rFonts w:hint="default" w:ascii="Times New Roman" w:hAnsi="Times New Roman" w:eastAsia="方正仿宋简体" w:cs="Times New Roman"/>
          <w:b/>
          <w:spacing w:val="8"/>
          <w:sz w:val="32"/>
          <w:szCs w:val="32"/>
          <w:highlight w:val="none"/>
        </w:rPr>
      </w:pPr>
      <w:bookmarkStart w:id="0" w:name="OLE_LINK2"/>
      <w:r>
        <w:rPr>
          <w:rFonts w:hint="default" w:ascii="Times New Roman" w:hAnsi="Times New Roman" w:eastAsia="方正仿宋简体" w:cs="Times New Roman"/>
          <w:b/>
          <w:spacing w:val="8"/>
          <w:sz w:val="32"/>
          <w:szCs w:val="32"/>
          <w:highlight w:val="none"/>
        </w:rPr>
        <w:t>（五）政府债务执行情况</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截</w:t>
      </w:r>
      <w:r>
        <w:rPr>
          <w:rFonts w:hint="eastAsia" w:ascii="Times New Roman" w:hAnsi="Times New Roman" w:eastAsia="方正仿宋简体" w:cs="Times New Roman"/>
          <w:color w:val="auto"/>
          <w:kern w:val="0"/>
          <w:sz w:val="32"/>
          <w:szCs w:val="32"/>
          <w:highlight w:val="none"/>
          <w:lang w:val="en-US" w:eastAsia="zh-CN"/>
        </w:rPr>
        <w:t>至</w:t>
      </w:r>
      <w:r>
        <w:rPr>
          <w:rFonts w:hint="default" w:ascii="Times New Roman" w:hAnsi="Times New Roman" w:eastAsia="方正仿宋简体" w:cs="Times New Roman"/>
          <w:color w:val="auto"/>
          <w:kern w:val="0"/>
          <w:sz w:val="32"/>
          <w:szCs w:val="32"/>
          <w:highlight w:val="none"/>
          <w:lang w:val="en-US" w:eastAsia="zh-CN"/>
        </w:rPr>
        <w:t>202</w:t>
      </w:r>
      <w:r>
        <w:rPr>
          <w:rFonts w:hint="eastAsia" w:ascii="Times New Roman" w:hAnsi="Times New Roman" w:eastAsia="方正仿宋简体" w:cs="Times New Roman"/>
          <w:color w:val="auto"/>
          <w:kern w:val="0"/>
          <w:sz w:val="32"/>
          <w:szCs w:val="32"/>
          <w:highlight w:val="none"/>
          <w:lang w:val="en-US" w:eastAsia="zh-CN"/>
        </w:rPr>
        <w:t>2</w:t>
      </w:r>
      <w:r>
        <w:rPr>
          <w:rFonts w:hint="default" w:ascii="Times New Roman" w:hAnsi="Times New Roman" w:eastAsia="方正仿宋简体" w:cs="Times New Roman"/>
          <w:color w:val="auto"/>
          <w:kern w:val="0"/>
          <w:sz w:val="32"/>
          <w:szCs w:val="32"/>
          <w:highlight w:val="none"/>
          <w:lang w:val="en-US" w:eastAsia="zh-CN"/>
        </w:rPr>
        <w:t>年末</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巴楚县政府债务余额511711万元</w:t>
      </w:r>
      <w:bookmarkStart w:id="1" w:name="OLE_LINK1"/>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其中：政府一般债务余额240417万元（含政府一般债券239731万元、向外国政府借款余额686万元）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政府专项债务余额271294万元。</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2022年巴楚县累计发行政府债券116420万元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其中：发行政府一般债券20420万元（含新增政府一般债券10000万元、再融资一般债券10420万元）；发行新增政府专项债券96000万元。2022年政府一般债务还本支出13108万元（县级预算安排还本2688万元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再融资债券还本10420万元）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政府专项债务还本支出0万元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偿还外国政府借款106万元。</w:t>
      </w:r>
    </w:p>
    <w:bookmarkEnd w:id="1"/>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截</w:t>
      </w:r>
      <w:r>
        <w:rPr>
          <w:rFonts w:hint="eastAsia" w:ascii="Times New Roman" w:hAnsi="Times New Roman" w:eastAsia="方正仿宋简体" w:cs="Times New Roman"/>
          <w:color w:val="auto"/>
          <w:kern w:val="0"/>
          <w:sz w:val="32"/>
          <w:szCs w:val="32"/>
          <w:highlight w:val="none"/>
          <w:lang w:val="en-US" w:eastAsia="zh-CN"/>
        </w:rPr>
        <w:t>至</w:t>
      </w:r>
      <w:r>
        <w:rPr>
          <w:rFonts w:hint="default" w:ascii="Times New Roman" w:hAnsi="Times New Roman" w:eastAsia="方正仿宋简体" w:cs="Times New Roman"/>
          <w:color w:val="auto"/>
          <w:kern w:val="0"/>
          <w:sz w:val="32"/>
          <w:szCs w:val="32"/>
          <w:highlight w:val="none"/>
          <w:lang w:val="en-US" w:eastAsia="zh-CN"/>
        </w:rPr>
        <w:t>2022年末</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巴楚县政府债务余额614917万元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其中：政府一般债务余额247623万元（含政府一般债券247043万元、向外国政府借款余额580万元）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政府专项债务余额367294万元。</w:t>
      </w:r>
    </w:p>
    <w:bookmarkEnd w:id="0"/>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000000"/>
          <w:kern w:val="0"/>
          <w:sz w:val="32"/>
          <w:szCs w:val="32"/>
          <w:highlight w:val="none"/>
          <w:lang w:eastAsia="zh-CN"/>
        </w:rPr>
      </w:pPr>
      <w:r>
        <w:rPr>
          <w:rFonts w:hint="default" w:ascii="方正黑体简体" w:hAnsi="方正黑体简体" w:eastAsia="方正黑体简体" w:cs="方正黑体简体"/>
          <w:color w:val="000000"/>
          <w:kern w:val="0"/>
          <w:sz w:val="32"/>
          <w:szCs w:val="32"/>
          <w:highlight w:val="none"/>
        </w:rPr>
        <w:t>二、</w:t>
      </w:r>
      <w:r>
        <w:rPr>
          <w:rFonts w:hint="default" w:ascii="方正黑体简体" w:hAnsi="方正黑体简体" w:eastAsia="方正黑体简体" w:cs="方正黑体简体"/>
          <w:color w:val="000000"/>
          <w:kern w:val="0"/>
          <w:sz w:val="32"/>
          <w:szCs w:val="32"/>
          <w:highlight w:val="none"/>
          <w:lang w:eastAsia="zh-CN"/>
        </w:rPr>
        <w:t>2022年</w:t>
      </w:r>
      <w:r>
        <w:rPr>
          <w:rFonts w:hint="default" w:ascii="方正黑体简体" w:hAnsi="方正黑体简体" w:eastAsia="方正黑体简体" w:cs="方正黑体简体"/>
          <w:color w:val="000000"/>
          <w:kern w:val="0"/>
          <w:sz w:val="32"/>
          <w:szCs w:val="32"/>
          <w:highlight w:val="none"/>
        </w:rPr>
        <w:t>部门决算收支情况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（一）部门收入情况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2022年各预算单位收入总额为696539.69万元（不含代列资金）</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比上年同期数772739.13万元（不含代列资金）减收76199.44万元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同比下降9.86%。包括：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1</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2022年部门财政拨款收入613237.42万元（不含代列资金）</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比上年同期数730789.98万元（不含代列资金）减收117552.56万元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同比下降16.09%。</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事业收入34258.05万元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比上年同期数35419.23万元减收1161.18万元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同比增长3.28%。</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3</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其他收入49044.21万元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比上年同期数6529.92万元增收42514.29万元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同比增长651.07%。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（二）部门支出情况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2022年各预算单位支出总额为680506.56万元（不含代列支出）</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比上年同期数768226.74万元（不含代列支出）减支87720.18万元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同比下降11.42%。其中：基本支出为244760.98万元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所占支出比重为35.97%</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比上年同期数226,639.22万元增支18121.76万元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同比增长7.99%；项目支出为435745.57万元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所占支出比重为64.03%</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比上年同期数541587.52万元减支105841.95万元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同比下降19.54%。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（三）部门结余情况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2022年部门年末结转结余为15743.43万元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与上年同期数0万元相比</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比上年增加15743.43万元。其中：财政拨款年末结转和结余0万元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无变动</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主要原因为援疆资金项目支出</w:t>
      </w:r>
      <w:r>
        <w:rPr>
          <w:rFonts w:hint="default" w:ascii="Times New Roman" w:hAnsi="Times New Roman" w:eastAsia="方正仿宋简体"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eastAsia="zh-CN"/>
        </w:rPr>
        <w:t>（四）</w:t>
      </w:r>
      <w:r>
        <w:rPr>
          <w:rFonts w:hint="default" w:ascii="Times New Roman" w:hAnsi="Times New Roman" w:eastAsia="方正仿宋简体" w:cs="Times New Roman"/>
          <w:b/>
          <w:bCs/>
          <w:color w:val="auto"/>
          <w:sz w:val="32"/>
          <w:szCs w:val="32"/>
          <w:highlight w:val="none"/>
          <w:lang w:val="en-US" w:eastAsia="zh-CN"/>
        </w:rPr>
        <w:t>2022年全面实施预算绩效管理情况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0"/>
          <w:sz w:val="32"/>
          <w:szCs w:val="32"/>
          <w:highlight w:val="none"/>
          <w:lang w:val="en-US" w:eastAsia="zh-CN"/>
        </w:rPr>
        <w:t>围绕地委、行署重点工作部署和社会关注度较高的项目</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财政牵头组织对重点项目开展第三方绩效评价</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评价过程中加强跟踪动态</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并将发现的问题及时反馈给各部门</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倒逼其落实绩效管理主体责任</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改进管理措施办法。抽取了2022年成品油税费改革转移支付资金预算用于农村公路养护项目、2022年现代职业教育质量提升项目、2022年中央补助地方公共文化服务体系建设(戏曲下乡）项目、2022年中央林业草原生态保护恢复资金（护林员）项目、2022年自主择业军转干部医保费项目、巴楚县2022年第三次土壤普查项目、巴楚县2022年耕地轮作项目、巴楚县阿纳库勒乡巡河步道建设项目、巴楚县2020年中央农业生产发展资金（农机购置补贴）项目、巴楚县农业农村机械化发展中心2022年农业机械购置补贴项目等10个重点项目由第三方独立评价</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并出具了重点项目绩效评价报告。</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方正黑体简体" w:hAnsi="方正黑体简体" w:eastAsia="方正黑体简体" w:cs="方正黑体简体"/>
          <w:color w:val="000000"/>
          <w:kern w:val="0"/>
          <w:sz w:val="32"/>
          <w:szCs w:val="32"/>
          <w:highlight w:val="none"/>
        </w:rPr>
        <w:t>三、</w:t>
      </w:r>
      <w:r>
        <w:rPr>
          <w:rFonts w:hint="default" w:ascii="方正黑体简体" w:hAnsi="方正黑体简体" w:eastAsia="方正黑体简体" w:cs="方正黑体简体"/>
          <w:color w:val="000000"/>
          <w:kern w:val="0"/>
          <w:sz w:val="32"/>
          <w:szCs w:val="32"/>
          <w:highlight w:val="none"/>
          <w:lang w:eastAsia="zh-CN"/>
        </w:rPr>
        <w:t>2022年</w:t>
      </w:r>
      <w:r>
        <w:rPr>
          <w:rFonts w:hint="default" w:ascii="方正黑体简体" w:hAnsi="方正黑体简体" w:eastAsia="方正黑体简体" w:cs="方正黑体简体"/>
          <w:color w:val="000000"/>
          <w:kern w:val="0"/>
          <w:sz w:val="32"/>
          <w:szCs w:val="32"/>
          <w:highlight w:val="none"/>
        </w:rPr>
        <w:t>“三公”经费情况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2022年度一般公共预算“三公”经费支出决算419.35万元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比上年429.78万元减少10.43万元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降低2.43%</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减少原因是压减支出。其中</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因公出国（境）费支出0元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与上年一致；公务用车购置及运行维护费支出382.35万元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占90.3%</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比上年388.11万元减少5.76万元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降低1.48%</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其中：公务用车购置费支出0万元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同比无变化；公务用车运行维护费支出382.35万元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同比下降1.48%</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减少原因是压减支出；公务接待费支出37万元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占9.7%</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比上年41.67万元减少4.67万元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降低11.21%</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减少原因是压减支出。</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黑体简体" w:hAnsi="方正黑体简体" w:eastAsia="方正黑体简体" w:cs="方正黑体简体"/>
          <w:color w:val="000000"/>
          <w:kern w:val="0"/>
          <w:sz w:val="32"/>
          <w:szCs w:val="32"/>
          <w:highlight w:val="none"/>
        </w:rPr>
      </w:pPr>
      <w:r>
        <w:rPr>
          <w:rFonts w:hint="default" w:ascii="方正黑体简体" w:hAnsi="方正黑体简体" w:eastAsia="方正黑体简体" w:cs="方正黑体简体"/>
          <w:color w:val="000000"/>
          <w:kern w:val="0"/>
          <w:sz w:val="32"/>
          <w:szCs w:val="32"/>
          <w:highlight w:val="none"/>
        </w:rPr>
        <w:t>四、</w:t>
      </w:r>
      <w:r>
        <w:rPr>
          <w:rFonts w:hint="default" w:ascii="方正黑体简体" w:hAnsi="方正黑体简体" w:eastAsia="方正黑体简体" w:cs="方正黑体简体"/>
          <w:color w:val="000000"/>
          <w:kern w:val="0"/>
          <w:sz w:val="32"/>
          <w:szCs w:val="32"/>
          <w:highlight w:val="none"/>
          <w:lang w:eastAsia="zh-CN"/>
        </w:rPr>
        <w:t>2022年</w:t>
      </w:r>
      <w:r>
        <w:rPr>
          <w:rFonts w:hint="default" w:ascii="方正黑体简体" w:hAnsi="方正黑体简体" w:eastAsia="方正黑体简体" w:cs="方正黑体简体"/>
          <w:color w:val="000000"/>
          <w:kern w:val="0"/>
          <w:sz w:val="32"/>
          <w:szCs w:val="32"/>
          <w:highlight w:val="none"/>
        </w:rPr>
        <w:t>财政主要工作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rPr>
        <w:t>（一）</w:t>
      </w:r>
      <w:r>
        <w:rPr>
          <w:rFonts w:hint="default" w:ascii="Times New Roman" w:hAnsi="Times New Roman" w:eastAsia="方正仿宋简体" w:cs="Times New Roman"/>
          <w:b/>
          <w:bCs/>
          <w:sz w:val="32"/>
          <w:szCs w:val="32"/>
          <w:highlight w:val="none"/>
          <w:lang w:val="en-US" w:eastAsia="zh-CN"/>
        </w:rPr>
        <w:t>落实积极的财政政策</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全力支持经济高质量发展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bCs/>
          <w:color w:val="auto"/>
          <w:kern w:val="0"/>
          <w:sz w:val="32"/>
          <w:szCs w:val="32"/>
          <w:highlight w:val="none"/>
          <w:lang w:val="en-US" w:eastAsia="zh-CN"/>
        </w:rPr>
        <w:t>一是</w:t>
      </w:r>
      <w:r>
        <w:rPr>
          <w:rFonts w:hint="default" w:ascii="Times New Roman" w:hAnsi="Times New Roman" w:eastAsia="方正仿宋简体" w:cs="Times New Roman"/>
          <w:color w:val="auto"/>
          <w:kern w:val="0"/>
          <w:sz w:val="32"/>
          <w:szCs w:val="32"/>
          <w:highlight w:val="none"/>
          <w:lang w:val="en-US" w:eastAsia="zh-CN"/>
        </w:rPr>
        <w:t>不折不扣落实向中小微企业、制造业等重点行业实施增值税大规模留抵退税政策</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为市场主体纾困解难</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增添强劲发展动力。</w:t>
      </w:r>
      <w:r>
        <w:rPr>
          <w:rFonts w:hint="default" w:ascii="Times New Roman" w:hAnsi="Times New Roman" w:eastAsia="方正仿宋简体" w:cs="Times New Roman"/>
          <w:b/>
          <w:bCs/>
          <w:color w:val="auto"/>
          <w:kern w:val="0"/>
          <w:sz w:val="32"/>
          <w:szCs w:val="32"/>
          <w:highlight w:val="none"/>
          <w:lang w:val="en-US" w:eastAsia="zh-CN"/>
        </w:rPr>
        <w:t>二是</w:t>
      </w:r>
      <w:r>
        <w:rPr>
          <w:rFonts w:hint="default" w:ascii="Times New Roman" w:hAnsi="Times New Roman" w:eastAsia="方正仿宋简体" w:cs="Times New Roman"/>
          <w:color w:val="auto"/>
          <w:kern w:val="0"/>
          <w:sz w:val="32"/>
          <w:szCs w:val="32"/>
          <w:highlight w:val="none"/>
          <w:lang w:val="en-US" w:eastAsia="zh-CN"/>
        </w:rPr>
        <w:t>积极申请上级补助资金</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有力保障落实留抵退税政策所需资金</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争取留抵退税补助资金1.1亿元。</w:t>
      </w:r>
      <w:r>
        <w:rPr>
          <w:rFonts w:hint="default" w:ascii="Times New Roman" w:hAnsi="Times New Roman" w:eastAsia="方正仿宋简体" w:cs="Times New Roman"/>
          <w:b/>
          <w:bCs/>
          <w:color w:val="auto"/>
          <w:kern w:val="0"/>
          <w:sz w:val="32"/>
          <w:szCs w:val="32"/>
          <w:highlight w:val="none"/>
          <w:lang w:val="en-US" w:eastAsia="zh-CN"/>
        </w:rPr>
        <w:t>三是</w:t>
      </w:r>
      <w:r>
        <w:rPr>
          <w:rFonts w:hint="default" w:ascii="Times New Roman" w:hAnsi="Times New Roman" w:eastAsia="方正仿宋简体" w:cs="Times New Roman"/>
          <w:b w:val="0"/>
          <w:bCs w:val="0"/>
          <w:color w:val="auto"/>
          <w:kern w:val="0"/>
          <w:sz w:val="32"/>
          <w:szCs w:val="32"/>
          <w:highlight w:val="none"/>
          <w:lang w:val="en-US" w:eastAsia="zh-CN"/>
        </w:rPr>
        <w:t>充分发挥地方政府债券积极作用</w:t>
      </w:r>
      <w:r>
        <w:rPr>
          <w:rFonts w:hint="eastAsia" w:ascii="Times New Roman" w:hAnsi="Times New Roman" w:eastAsia="方正仿宋简体" w:cs="Times New Roman"/>
          <w:b/>
          <w:bCs/>
          <w:color w:val="auto"/>
          <w:kern w:val="0"/>
          <w:sz w:val="32"/>
          <w:szCs w:val="32"/>
          <w:highlight w:val="none"/>
          <w:lang w:val="en-US" w:eastAsia="zh-CN"/>
        </w:rPr>
        <w:t>，</w:t>
      </w:r>
      <w:r>
        <w:rPr>
          <w:rFonts w:hint="default" w:ascii="Times New Roman" w:hAnsi="Times New Roman" w:eastAsia="方正仿宋简体" w:cs="Times New Roman"/>
          <w:b w:val="0"/>
          <w:bCs w:val="0"/>
          <w:color w:val="auto"/>
          <w:kern w:val="0"/>
          <w:sz w:val="32"/>
          <w:szCs w:val="32"/>
          <w:highlight w:val="none"/>
          <w:lang w:val="en-US" w:eastAsia="zh-CN"/>
        </w:rPr>
        <w:t>申请新增地方政府债券10.6亿元</w:t>
      </w:r>
      <w:r>
        <w:rPr>
          <w:rFonts w:hint="eastAsia" w:ascii="Times New Roman" w:hAnsi="Times New Roman" w:eastAsia="方正仿宋简体" w:cs="Times New Roman"/>
          <w:b w:val="0"/>
          <w:bCs w:val="0"/>
          <w:color w:val="auto"/>
          <w:kern w:val="0"/>
          <w:sz w:val="32"/>
          <w:szCs w:val="32"/>
          <w:highlight w:val="none"/>
          <w:lang w:val="en-US" w:eastAsia="zh-CN"/>
        </w:rPr>
        <w:t>，</w:t>
      </w:r>
      <w:r>
        <w:rPr>
          <w:rFonts w:hint="default" w:ascii="Times New Roman" w:hAnsi="Times New Roman" w:eastAsia="方正仿宋简体" w:cs="Times New Roman"/>
          <w:color w:val="auto"/>
          <w:sz w:val="32"/>
          <w:szCs w:val="32"/>
          <w:lang w:val="en-US" w:eastAsia="zh-CN"/>
        </w:rPr>
        <w:t>有力发挥了债券资金稳投资、促增长的积极作用</w:t>
      </w:r>
      <w:r>
        <w:rPr>
          <w:rFonts w:hint="default" w:ascii="Times New Roman" w:hAnsi="Times New Roman" w:eastAsia="方正仿宋简体" w:cs="Times New Roman"/>
          <w:b w:val="0"/>
          <w:bCs w:val="0"/>
          <w:color w:val="auto"/>
          <w:kern w:val="0"/>
          <w:sz w:val="32"/>
          <w:szCs w:val="32"/>
          <w:highlight w:val="none"/>
          <w:lang w:val="en-US" w:eastAsia="zh-CN"/>
        </w:rPr>
        <w:t>。</w:t>
      </w:r>
      <w:r>
        <w:rPr>
          <w:rFonts w:hint="default" w:ascii="Times New Roman" w:hAnsi="Times New Roman" w:eastAsia="方正仿宋简体" w:cs="Times New Roman"/>
          <w:b/>
          <w:bCs/>
          <w:color w:val="auto"/>
          <w:kern w:val="0"/>
          <w:sz w:val="32"/>
          <w:szCs w:val="32"/>
          <w:highlight w:val="none"/>
          <w:lang w:val="en-US" w:eastAsia="zh-CN"/>
        </w:rPr>
        <w:t>四是</w:t>
      </w:r>
      <w:r>
        <w:rPr>
          <w:rFonts w:hint="default" w:ascii="Times New Roman" w:hAnsi="Times New Roman" w:eastAsia="方正仿宋简体" w:cs="Times New Roman"/>
          <w:color w:val="auto"/>
          <w:kern w:val="0"/>
          <w:sz w:val="32"/>
          <w:szCs w:val="32"/>
          <w:highlight w:val="none"/>
          <w:lang w:val="en-US" w:eastAsia="zh-CN"/>
        </w:rPr>
        <w:t>落实转移支付资金直达机制</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确保中央直达资金直接惠企利民。争取</w:t>
      </w:r>
      <w:r>
        <w:rPr>
          <w:rFonts w:hint="default" w:ascii="Times New Roman" w:hAnsi="Times New Roman" w:eastAsia="方正仿宋简体" w:cs="Times New Roman"/>
          <w:b w:val="0"/>
          <w:bCs w:val="0"/>
          <w:color w:val="auto"/>
          <w:kern w:val="0"/>
          <w:sz w:val="32"/>
          <w:szCs w:val="32"/>
          <w:highlight w:val="none"/>
          <w:lang w:val="en-US" w:eastAsia="zh-CN"/>
        </w:rPr>
        <w:t>直达资金19.44亿元</w:t>
      </w:r>
      <w:r>
        <w:rPr>
          <w:rFonts w:hint="eastAsia" w:ascii="Times New Roman" w:hAnsi="Times New Roman" w:eastAsia="方正仿宋简体" w:cs="Times New Roman"/>
          <w:b w:val="0"/>
          <w:bCs w:val="0"/>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为保就业、保民生、保市场主体提供支撑。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kern w:val="0"/>
          <w:sz w:val="32"/>
          <w:szCs w:val="32"/>
          <w:highlight w:val="none"/>
        </w:rPr>
      </w:pPr>
      <w:r>
        <w:rPr>
          <w:rFonts w:hint="default" w:ascii="Times New Roman" w:hAnsi="Times New Roman" w:eastAsia="方正仿宋简体" w:cs="Times New Roman"/>
          <w:b/>
          <w:bCs/>
          <w:kern w:val="0"/>
          <w:sz w:val="32"/>
          <w:szCs w:val="32"/>
          <w:highlight w:val="none"/>
        </w:rPr>
        <w:t>（二）切实加强财政支出管理</w:t>
      </w:r>
      <w:r>
        <w:rPr>
          <w:rFonts w:hint="eastAsia" w:ascii="Times New Roman" w:hAnsi="Times New Roman" w:eastAsia="方正仿宋简体" w:cs="Times New Roman"/>
          <w:b/>
          <w:bCs/>
          <w:kern w:val="0"/>
          <w:sz w:val="32"/>
          <w:szCs w:val="32"/>
          <w:highlight w:val="none"/>
          <w:lang w:eastAsia="zh-CN"/>
        </w:rPr>
        <w:t>，</w:t>
      </w:r>
      <w:r>
        <w:rPr>
          <w:rFonts w:hint="default" w:ascii="Times New Roman" w:hAnsi="Times New Roman" w:eastAsia="方正仿宋简体" w:cs="Times New Roman"/>
          <w:b/>
          <w:bCs/>
          <w:kern w:val="0"/>
          <w:sz w:val="32"/>
          <w:szCs w:val="32"/>
          <w:highlight w:val="none"/>
          <w:lang w:val="en-US" w:eastAsia="zh-CN"/>
        </w:rPr>
        <w:t>保持财政支出强度</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我县紧紧围绕社会稳定和长治久安总目标</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坚持稳中求进总基调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坚决落实“疫情要防住、经济要稳住、发展要安全”的要求</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全面落实推进经济增长的一系列措施</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强化资金和政策保障</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扎实做好“六稳”“六保”工作</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着力推动高质量发展。牢固树立党政机关“过紧日子”思想</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坚持严和紧的总基调不放松</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注重精打细算、厉行节约。2022年</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全县用于民生支出42.02亿元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占一般公共预算支出比重78.1%。</w:t>
      </w:r>
      <w:r>
        <w:rPr>
          <w:rFonts w:hint="default" w:ascii="Times New Roman" w:hAnsi="Times New Roman" w:eastAsia="方正仿宋简体" w:cs="Times New Roman"/>
          <w:b/>
          <w:bCs/>
          <w:color w:val="auto"/>
          <w:kern w:val="0"/>
          <w:sz w:val="32"/>
          <w:szCs w:val="32"/>
          <w:highlight w:val="none"/>
          <w:lang w:val="en-US" w:eastAsia="zh-CN"/>
        </w:rPr>
        <w:t>一是</w:t>
      </w:r>
      <w:r>
        <w:rPr>
          <w:rFonts w:hint="default" w:ascii="Times New Roman" w:hAnsi="Times New Roman" w:eastAsia="方正仿宋简体" w:cs="Times New Roman"/>
          <w:color w:val="auto"/>
          <w:kern w:val="0"/>
          <w:sz w:val="32"/>
          <w:szCs w:val="32"/>
          <w:highlight w:val="none"/>
          <w:lang w:val="en-US" w:eastAsia="zh-CN"/>
        </w:rPr>
        <w:t>加强社会保障和就业支出。2022年全县社会保障和就业支出7.3亿元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使我县城乡居民基本民生得到保障</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就业惠民工程大力实施。</w:t>
      </w:r>
      <w:r>
        <w:rPr>
          <w:rFonts w:hint="default" w:ascii="Times New Roman" w:hAnsi="Times New Roman" w:eastAsia="方正仿宋简体" w:cs="Times New Roman"/>
          <w:b/>
          <w:bCs/>
          <w:color w:val="auto"/>
          <w:kern w:val="0"/>
          <w:sz w:val="32"/>
          <w:szCs w:val="32"/>
          <w:highlight w:val="none"/>
          <w:lang w:val="en-US" w:eastAsia="zh-CN"/>
        </w:rPr>
        <w:t>二是</w:t>
      </w:r>
      <w:r>
        <w:rPr>
          <w:rFonts w:hint="default" w:ascii="Times New Roman" w:hAnsi="Times New Roman" w:eastAsia="方正仿宋简体" w:cs="Times New Roman"/>
          <w:color w:val="auto"/>
          <w:kern w:val="0"/>
          <w:sz w:val="32"/>
          <w:szCs w:val="32"/>
          <w:highlight w:val="none"/>
          <w:lang w:val="en-US" w:eastAsia="zh-CN"/>
        </w:rPr>
        <w:t>持续加大教育投入力度。2022年全县教育支出14.87亿元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落实了教育投入“两个只增不减”要求</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助力教育事业发展。</w:t>
      </w:r>
      <w:r>
        <w:rPr>
          <w:rFonts w:hint="default" w:ascii="Times New Roman" w:hAnsi="Times New Roman" w:eastAsia="方正仿宋简体" w:cs="Times New Roman"/>
          <w:b/>
          <w:bCs/>
          <w:color w:val="auto"/>
          <w:kern w:val="0"/>
          <w:sz w:val="32"/>
          <w:szCs w:val="32"/>
          <w:highlight w:val="none"/>
          <w:lang w:val="en-US" w:eastAsia="zh-CN"/>
        </w:rPr>
        <w:t>三是</w:t>
      </w:r>
      <w:r>
        <w:rPr>
          <w:rFonts w:hint="default" w:ascii="Times New Roman" w:hAnsi="Times New Roman" w:eastAsia="方正仿宋简体" w:cs="Times New Roman"/>
          <w:color w:val="auto"/>
          <w:kern w:val="0"/>
          <w:sz w:val="32"/>
          <w:szCs w:val="32"/>
          <w:highlight w:val="none"/>
          <w:lang w:val="en-US" w:eastAsia="zh-CN"/>
        </w:rPr>
        <w:t>加大对乡村振兴财政预算安排力度。2022年到位</w:t>
      </w:r>
      <w:bookmarkStart w:id="2" w:name="_GoBack"/>
      <w:bookmarkEnd w:id="2"/>
      <w:r>
        <w:rPr>
          <w:rFonts w:hint="eastAsia" w:ascii="Times New Roman" w:hAnsi="Times New Roman" w:eastAsia="方正仿宋简体" w:cs="Times New Roman"/>
          <w:color w:val="auto"/>
          <w:kern w:val="0"/>
          <w:sz w:val="32"/>
          <w:szCs w:val="32"/>
          <w:highlight w:val="none"/>
          <w:lang w:val="en-US" w:eastAsia="zh-CN"/>
        </w:rPr>
        <w:t>巩固拓展脱贫攻坚</w:t>
      </w:r>
      <w:r>
        <w:rPr>
          <w:rFonts w:hint="default" w:ascii="Times New Roman" w:hAnsi="Times New Roman" w:eastAsia="方正仿宋简体" w:cs="Times New Roman"/>
          <w:color w:val="auto"/>
          <w:kern w:val="0"/>
          <w:sz w:val="32"/>
          <w:szCs w:val="32"/>
          <w:highlight w:val="none"/>
          <w:lang w:val="en-US" w:eastAsia="zh-CN"/>
        </w:rPr>
        <w:t>成果同乡村振兴有效衔接资金7.82亿元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支付7.64亿元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支付率97.66%</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衔接资金及时发挥效益</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助力高质量完成巩固拓展脱贫攻坚成果与乡村振兴有效衔接工作任务。</w:t>
      </w:r>
      <w:r>
        <w:rPr>
          <w:rFonts w:hint="default" w:ascii="Times New Roman" w:hAnsi="Times New Roman" w:eastAsia="方正仿宋简体" w:cs="Times New Roman"/>
          <w:b/>
          <w:bCs/>
          <w:color w:val="auto"/>
          <w:kern w:val="0"/>
          <w:sz w:val="32"/>
          <w:szCs w:val="32"/>
          <w:highlight w:val="none"/>
          <w:lang w:val="en-US" w:eastAsia="zh-CN"/>
        </w:rPr>
        <w:t>四是</w:t>
      </w:r>
      <w:r>
        <w:rPr>
          <w:rFonts w:hint="default" w:ascii="Times New Roman" w:hAnsi="Times New Roman" w:eastAsia="方正仿宋简体" w:cs="Times New Roman"/>
          <w:color w:val="auto"/>
          <w:kern w:val="0"/>
          <w:sz w:val="32"/>
          <w:szCs w:val="32"/>
          <w:highlight w:val="none"/>
          <w:lang w:val="en-US" w:eastAsia="zh-CN"/>
        </w:rPr>
        <w:t>落实各项惠农政策。2022年41项惠农政策资金支付7.11亿元</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通过“一卡通”将惠民惠农补贴资金及时足额拨付到农户手中</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有效保障农民权益。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方正仿宋简体" w:cs="Times New Roman"/>
          <w:b/>
          <w:bCs/>
          <w:kern w:val="0"/>
          <w:sz w:val="32"/>
          <w:szCs w:val="32"/>
          <w:highlight w:val="none"/>
        </w:rPr>
      </w:pPr>
      <w:r>
        <w:rPr>
          <w:rFonts w:hint="default" w:ascii="Times New Roman" w:hAnsi="Times New Roman" w:eastAsia="方正仿宋简体" w:cs="Times New Roman"/>
          <w:b/>
          <w:bCs/>
          <w:kern w:val="0"/>
          <w:sz w:val="32"/>
          <w:szCs w:val="32"/>
          <w:highlight w:val="none"/>
        </w:rPr>
        <w:t>（三）</w:t>
      </w:r>
      <w:r>
        <w:rPr>
          <w:rFonts w:hint="default" w:ascii="Times New Roman" w:hAnsi="Times New Roman" w:eastAsia="方正仿宋简体" w:cs="Times New Roman"/>
          <w:b/>
          <w:bCs/>
          <w:kern w:val="0"/>
          <w:sz w:val="32"/>
          <w:szCs w:val="32"/>
          <w:highlight w:val="none"/>
          <w:lang w:val="en-US" w:eastAsia="zh-CN"/>
        </w:rPr>
        <w:t>坚持法治思维</w:t>
      </w:r>
      <w:r>
        <w:rPr>
          <w:rFonts w:hint="eastAsia" w:ascii="Times New Roman" w:hAnsi="Times New Roman" w:eastAsia="方正仿宋简体" w:cs="Times New Roman"/>
          <w:b/>
          <w:bCs/>
          <w:kern w:val="0"/>
          <w:sz w:val="32"/>
          <w:szCs w:val="32"/>
          <w:highlight w:val="none"/>
          <w:lang w:val="en-US" w:eastAsia="zh-CN"/>
        </w:rPr>
        <w:t>，</w:t>
      </w:r>
      <w:r>
        <w:rPr>
          <w:rFonts w:hint="default" w:ascii="Times New Roman" w:hAnsi="Times New Roman" w:eastAsia="方正仿宋简体" w:cs="Times New Roman"/>
          <w:b/>
          <w:bCs/>
          <w:kern w:val="0"/>
          <w:sz w:val="32"/>
          <w:szCs w:val="32"/>
          <w:highlight w:val="none"/>
          <w:lang w:val="en-US" w:eastAsia="zh-CN"/>
        </w:rPr>
        <w:t>深化财税体制改革</w:t>
      </w:r>
      <w:r>
        <w:rPr>
          <w:rFonts w:hint="eastAsia" w:ascii="Times New Roman" w:hAnsi="Times New Roman" w:eastAsia="方正仿宋简体" w:cs="Times New Roman"/>
          <w:b/>
          <w:bCs/>
          <w:kern w:val="0"/>
          <w:sz w:val="32"/>
          <w:szCs w:val="32"/>
          <w:highlight w:val="none"/>
          <w:lang w:val="en-US" w:eastAsia="zh-CN"/>
        </w:rPr>
        <w:t>，</w:t>
      </w:r>
      <w:r>
        <w:rPr>
          <w:rFonts w:hint="default" w:ascii="Times New Roman" w:hAnsi="Times New Roman" w:eastAsia="方正仿宋简体" w:cs="Times New Roman"/>
          <w:b/>
          <w:kern w:val="0"/>
          <w:sz w:val="32"/>
          <w:szCs w:val="32"/>
          <w:highlight w:val="none"/>
        </w:rPr>
        <w:t>促进经济持续健康发展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b/>
          <w:bCs/>
          <w:color w:val="auto"/>
          <w:kern w:val="0"/>
          <w:sz w:val="32"/>
          <w:szCs w:val="32"/>
          <w:highlight w:val="none"/>
          <w:lang w:val="en-US" w:eastAsia="zh-CN"/>
        </w:rPr>
        <w:t>一是</w:t>
      </w:r>
      <w:r>
        <w:rPr>
          <w:rFonts w:hint="default" w:ascii="Times New Roman" w:hAnsi="Times New Roman" w:eastAsia="方正仿宋简体" w:cs="Times New Roman"/>
          <w:color w:val="auto"/>
          <w:kern w:val="0"/>
          <w:sz w:val="32"/>
          <w:szCs w:val="32"/>
          <w:highlight w:val="none"/>
          <w:lang w:val="en-US" w:eastAsia="zh-CN"/>
        </w:rPr>
        <w:t>着力打造“阳光财政”。压紧压实各部门预决算公开工作责任</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明确公开时限、规范公开模板、实施公开检查</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预决算透明度不断增强。2022年</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我县142个部门单位扎实开展部门预决算公开工作</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预算单位充分认识到预决算公开的重要性和必要性</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以公开稳预期、强监督、促落实、优服务</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切实增强人民群众满意度、获得感</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为促进经济持续健康发展和社会大局稳定发挥积极作用。</w:t>
      </w:r>
      <w:r>
        <w:rPr>
          <w:rFonts w:hint="default" w:ascii="Times New Roman" w:hAnsi="Times New Roman" w:eastAsia="方正仿宋简体" w:cs="Times New Roman"/>
          <w:b/>
          <w:bCs/>
          <w:color w:val="auto"/>
          <w:kern w:val="0"/>
          <w:sz w:val="32"/>
          <w:szCs w:val="32"/>
          <w:highlight w:val="none"/>
          <w:lang w:val="en-US" w:eastAsia="zh-CN"/>
        </w:rPr>
        <w:t>二是</w:t>
      </w:r>
      <w:r>
        <w:rPr>
          <w:rFonts w:hint="default" w:ascii="Times New Roman" w:hAnsi="Times New Roman" w:eastAsia="方正仿宋简体" w:cs="Times New Roman"/>
          <w:color w:val="auto"/>
          <w:kern w:val="0"/>
          <w:sz w:val="32"/>
          <w:szCs w:val="32"/>
          <w:highlight w:val="none"/>
          <w:lang w:val="en-US" w:eastAsia="zh-CN"/>
        </w:rPr>
        <w:t>持续推动预算管理一体化2.0系统运用</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实现预算全过程有效监督</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进一步提升财政现代化管理水平。</w:t>
      </w:r>
      <w:r>
        <w:rPr>
          <w:rFonts w:hint="default" w:ascii="Times New Roman" w:hAnsi="Times New Roman" w:eastAsia="方正仿宋简体" w:cs="Times New Roman"/>
          <w:b/>
          <w:bCs/>
          <w:color w:val="auto"/>
          <w:kern w:val="0"/>
          <w:sz w:val="32"/>
          <w:szCs w:val="32"/>
          <w:highlight w:val="none"/>
          <w:lang w:val="en-US" w:eastAsia="zh-CN"/>
        </w:rPr>
        <w:t>三是</w:t>
      </w:r>
      <w:r>
        <w:rPr>
          <w:rFonts w:hint="default" w:ascii="Times New Roman" w:hAnsi="Times New Roman" w:eastAsia="方正仿宋简体" w:cs="Times New Roman"/>
          <w:color w:val="auto"/>
          <w:kern w:val="0"/>
          <w:sz w:val="32"/>
          <w:szCs w:val="32"/>
          <w:highlight w:val="none"/>
          <w:lang w:val="en-US" w:eastAsia="zh-CN"/>
        </w:rPr>
        <w:t>主动接受人大、审计监督检查。依法向人大常委会报告2022年预算调整情况</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积极协助人大常委会推进预算审查联网监督等工作。积极配合审计部门顺利完成财政预算执行审计</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督促指导相关部门扎实做好审计查出问题整改工作。</w:t>
      </w:r>
      <w:r>
        <w:rPr>
          <w:rFonts w:hint="default" w:ascii="Times New Roman" w:hAnsi="Times New Roman" w:eastAsia="方正仿宋简体" w:cs="Times New Roman"/>
          <w:b/>
          <w:bCs/>
          <w:color w:val="auto"/>
          <w:kern w:val="0"/>
          <w:sz w:val="32"/>
          <w:szCs w:val="32"/>
          <w:highlight w:val="none"/>
          <w:lang w:val="en-US" w:eastAsia="zh-CN"/>
        </w:rPr>
        <w:t>四是</w:t>
      </w:r>
      <w:r>
        <w:rPr>
          <w:rFonts w:hint="default" w:ascii="Times New Roman" w:hAnsi="Times New Roman" w:eastAsia="方正仿宋简体" w:cs="Times New Roman"/>
          <w:color w:val="auto"/>
          <w:kern w:val="0"/>
          <w:sz w:val="32"/>
          <w:szCs w:val="32"/>
          <w:highlight w:val="none"/>
          <w:lang w:val="en-US" w:eastAsia="zh-CN"/>
        </w:rPr>
        <w:t>深入开展地方财经秩序专项整治行动。按照专项行动方案要求</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对落实国家减税降费政策、党政机关“过紧日子”、基层“三保”、防范债务风险等7个领域违反财经纪律问题</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开展了全面自查自纠。建立问题整改台账</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实施清单管理</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全面整改查处问题。针对发现问题</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制定修订各项制度</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依法理财能力明显提升。</w:t>
      </w:r>
    </w:p>
    <w:p>
      <w:pPr>
        <w:pStyle w:val="4"/>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主任、各位副主任，各位委员：</w:t>
      </w:r>
      <w:r>
        <w:rPr>
          <w:rFonts w:hint="default" w:ascii="Times New Roman" w:hAnsi="Times New Roman" w:eastAsia="方正仿宋简体" w:cs="Times New Roman"/>
          <w:spacing w:val="3"/>
          <w:sz w:val="32"/>
          <w:szCs w:val="32"/>
        </w:rPr>
        <w:t>202</w:t>
      </w:r>
      <w:r>
        <w:rPr>
          <w:rFonts w:hint="eastAsia" w:ascii="Times New Roman" w:hAnsi="Times New Roman" w:eastAsia="方正仿宋简体" w:cs="Times New Roman"/>
          <w:spacing w:val="3"/>
          <w:sz w:val="32"/>
          <w:szCs w:val="32"/>
          <w:lang w:val="en-US" w:eastAsia="zh-CN"/>
        </w:rPr>
        <w:t>2</w:t>
      </w:r>
      <w:r>
        <w:rPr>
          <w:rFonts w:hint="default" w:ascii="Times New Roman" w:hAnsi="Times New Roman" w:eastAsia="方正仿宋简体" w:cs="Times New Roman"/>
          <w:spacing w:val="3"/>
          <w:sz w:val="32"/>
          <w:szCs w:val="32"/>
        </w:rPr>
        <w:t>年度决算工作已圆</w:t>
      </w:r>
      <w:r>
        <w:rPr>
          <w:rFonts w:hint="default" w:ascii="Times New Roman" w:hAnsi="Times New Roman" w:eastAsia="方正仿宋简体" w:cs="Times New Roman"/>
          <w:spacing w:val="8"/>
          <w:sz w:val="32"/>
          <w:szCs w:val="32"/>
        </w:rPr>
        <w:t>满完成，我们将在县委、县政府的正确领导下，在县人大监督指导和上级部门的关心支持下，以更加开阔的思路</w:t>
      </w:r>
      <w:r>
        <w:rPr>
          <w:rFonts w:hint="eastAsia"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sz w:val="32"/>
          <w:szCs w:val="32"/>
        </w:rPr>
        <w:t>更加</w:t>
      </w:r>
      <w:r>
        <w:rPr>
          <w:rFonts w:hint="default" w:ascii="Times New Roman" w:hAnsi="Times New Roman" w:eastAsia="方正仿宋简体" w:cs="Times New Roman"/>
          <w:spacing w:val="9"/>
          <w:sz w:val="32"/>
          <w:szCs w:val="32"/>
        </w:rPr>
        <w:t>有效的举措</w:t>
      </w:r>
      <w:r>
        <w:rPr>
          <w:rFonts w:hint="eastAsia" w:ascii="Times New Roman" w:hAnsi="Times New Roman" w:eastAsia="方正仿宋简体" w:cs="Times New Roman"/>
          <w:spacing w:val="9"/>
          <w:sz w:val="32"/>
          <w:szCs w:val="32"/>
          <w:lang w:eastAsia="zh-CN"/>
        </w:rPr>
        <w:t>、</w:t>
      </w:r>
      <w:r>
        <w:rPr>
          <w:rFonts w:hint="default" w:ascii="Times New Roman" w:hAnsi="Times New Roman" w:eastAsia="方正仿宋简体" w:cs="Times New Roman"/>
          <w:spacing w:val="9"/>
          <w:sz w:val="32"/>
          <w:szCs w:val="32"/>
        </w:rPr>
        <w:t>更加务实的作风，攻坚克难，</w:t>
      </w:r>
      <w:r>
        <w:rPr>
          <w:rFonts w:hint="default" w:ascii="Times New Roman" w:hAnsi="Times New Roman" w:eastAsia="方正仿宋简体" w:cs="Times New Roman"/>
          <w:spacing w:val="8"/>
          <w:sz w:val="32"/>
          <w:szCs w:val="32"/>
        </w:rPr>
        <w:t>扎实工作</w:t>
      </w:r>
      <w:r>
        <w:rPr>
          <w:rFonts w:hint="eastAsia"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sz w:val="32"/>
          <w:szCs w:val="32"/>
        </w:rPr>
        <w:t>为更</w:t>
      </w:r>
      <w:r>
        <w:rPr>
          <w:rFonts w:hint="default" w:ascii="Times New Roman" w:hAnsi="Times New Roman" w:eastAsia="方正仿宋简体" w:cs="Times New Roman"/>
          <w:spacing w:val="4"/>
          <w:sz w:val="32"/>
          <w:szCs w:val="32"/>
        </w:rPr>
        <w:t>好地完成202</w:t>
      </w:r>
      <w:r>
        <w:rPr>
          <w:rFonts w:hint="eastAsia" w:ascii="Times New Roman" w:hAnsi="Times New Roman" w:eastAsia="方正仿宋简体" w:cs="Times New Roman"/>
          <w:spacing w:val="4"/>
          <w:sz w:val="32"/>
          <w:szCs w:val="32"/>
          <w:lang w:val="en-US" w:eastAsia="zh-CN"/>
        </w:rPr>
        <w:t>3</w:t>
      </w:r>
      <w:r>
        <w:rPr>
          <w:rFonts w:hint="default" w:ascii="Times New Roman" w:hAnsi="Times New Roman" w:eastAsia="方正仿宋简体" w:cs="Times New Roman"/>
          <w:spacing w:val="4"/>
          <w:sz w:val="32"/>
          <w:szCs w:val="32"/>
        </w:rPr>
        <w:t>年度财政工作努力奋斗。</w:t>
      </w:r>
    </w:p>
    <w:p>
      <w:pPr>
        <w:pStyle w:val="4"/>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3"/>
          <w:sz w:val="32"/>
          <w:szCs w:val="32"/>
        </w:rPr>
        <w:t>以上报告，请予审议！</w:t>
      </w:r>
    </w:p>
    <w:p>
      <w:pPr>
        <w:keepNext w:val="0"/>
        <w:keepLines w:val="0"/>
        <w:pageBreakBefore w:val="0"/>
        <w:kinsoku/>
        <w:wordWrap/>
        <w:overflowPunct/>
        <w:topLinePunct w:val="0"/>
        <w:autoSpaceDE/>
        <w:autoSpaceDN/>
        <w:bidi w:val="0"/>
        <w:adjustRightInd/>
        <w:spacing w:line="560" w:lineRule="exact"/>
        <w:ind w:left="0" w:leftChars="0" w:firstLine="420" w:firstLineChars="200"/>
        <w:jc w:val="both"/>
        <w:textAlignment w:val="auto"/>
        <w:outlineLvl w:val="9"/>
        <w:rPr>
          <w:rFonts w:hint="default"/>
          <w:lang w:val="en-US" w:eastAsia="zh-CN"/>
        </w:rPr>
      </w:pPr>
    </w:p>
    <w:sectPr>
      <w:footerReference r:id="rId3" w:type="default"/>
      <w:pgSz w:w="11906" w:h="16838"/>
      <w:pgMar w:top="1417" w:right="1249"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462BA"/>
    <w:multiLevelType w:val="multilevel"/>
    <w:tmpl w:val="F21462BA"/>
    <w:lvl w:ilvl="0" w:tentative="0">
      <w:start w:val="1"/>
      <w:numFmt w:val="none"/>
      <w:suff w:val="nothing"/>
      <w:lvlText w:val=""/>
      <w:lvlJc w:val="left"/>
      <w:pPr>
        <w:tabs>
          <w:tab w:val="left" w:pos="0"/>
        </w:tabs>
        <w:ind w:left="0" w:firstLine="0"/>
      </w:pPr>
    </w:lvl>
    <w:lvl w:ilvl="1" w:tentative="0">
      <w:start w:val="1"/>
      <w:numFmt w:val="none"/>
      <w:lvlRestart w:val="0"/>
      <w:pStyle w:val="3"/>
      <w:suff w:val="nothing"/>
      <w:lvlText w:val=""/>
      <w:lvlJc w:val="left"/>
      <w:pPr>
        <w:tabs>
          <w:tab w:val="left" w:pos="0"/>
        </w:tabs>
        <w:ind w:left="992" w:hanging="992"/>
      </w:pPr>
    </w:lvl>
    <w:lvl w:ilvl="2" w:tentative="0">
      <w:start w:val="1"/>
      <w:numFmt w:val="none"/>
      <w:lvlRestart w:val="0"/>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lvlRestart w:val="0"/>
      <w:suff w:val="nothing"/>
      <w:lvlText w:val=""/>
      <w:lvlJc w:val="left"/>
      <w:pPr>
        <w:tabs>
          <w:tab w:val="left" w:pos="0"/>
        </w:tabs>
        <w:ind w:left="992" w:hanging="992"/>
      </w:pPr>
    </w:lvl>
    <w:lvl w:ilvl="2" w:tentative="0">
      <w:start w:val="1"/>
      <w:numFmt w:val="none"/>
      <w:lvlRestart w:val="0"/>
      <w:pStyle w:val="2"/>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ZDZlZTRkOWM3ZDhkNTdkZTgyNjZhZmMwZjkyMDcifQ=="/>
  </w:docVars>
  <w:rsids>
    <w:rsidRoot w:val="00172A27"/>
    <w:rsid w:val="00175255"/>
    <w:rsid w:val="00AE2263"/>
    <w:rsid w:val="00E5640E"/>
    <w:rsid w:val="00E873B3"/>
    <w:rsid w:val="00E91D42"/>
    <w:rsid w:val="017D17C6"/>
    <w:rsid w:val="0196006D"/>
    <w:rsid w:val="01B5647F"/>
    <w:rsid w:val="021D5F45"/>
    <w:rsid w:val="024C01E8"/>
    <w:rsid w:val="03FF60DB"/>
    <w:rsid w:val="04F94DC6"/>
    <w:rsid w:val="05390039"/>
    <w:rsid w:val="064B1753"/>
    <w:rsid w:val="06BD7216"/>
    <w:rsid w:val="06E24EE5"/>
    <w:rsid w:val="075C7340"/>
    <w:rsid w:val="08783B43"/>
    <w:rsid w:val="089602BB"/>
    <w:rsid w:val="08F60AE5"/>
    <w:rsid w:val="092F6D6B"/>
    <w:rsid w:val="09451E90"/>
    <w:rsid w:val="09A47C77"/>
    <w:rsid w:val="0A0519E0"/>
    <w:rsid w:val="0AFE6183"/>
    <w:rsid w:val="0B0F6A64"/>
    <w:rsid w:val="0C20225B"/>
    <w:rsid w:val="0CC354F9"/>
    <w:rsid w:val="0D524BC5"/>
    <w:rsid w:val="0D5F5816"/>
    <w:rsid w:val="0ED73B55"/>
    <w:rsid w:val="0F9E7254"/>
    <w:rsid w:val="0FA66478"/>
    <w:rsid w:val="106511E1"/>
    <w:rsid w:val="10A44137"/>
    <w:rsid w:val="111F66C7"/>
    <w:rsid w:val="11313EA7"/>
    <w:rsid w:val="116F3736"/>
    <w:rsid w:val="13D5574B"/>
    <w:rsid w:val="13FB0A1D"/>
    <w:rsid w:val="13FB36C3"/>
    <w:rsid w:val="14D834B0"/>
    <w:rsid w:val="156409CB"/>
    <w:rsid w:val="16192449"/>
    <w:rsid w:val="161A6328"/>
    <w:rsid w:val="16937B05"/>
    <w:rsid w:val="16C328BC"/>
    <w:rsid w:val="16C52550"/>
    <w:rsid w:val="16D07F7C"/>
    <w:rsid w:val="17EC2557"/>
    <w:rsid w:val="186338EC"/>
    <w:rsid w:val="189677AB"/>
    <w:rsid w:val="19194D46"/>
    <w:rsid w:val="197437D2"/>
    <w:rsid w:val="19F533D7"/>
    <w:rsid w:val="1A930B65"/>
    <w:rsid w:val="1AB37637"/>
    <w:rsid w:val="1BE13604"/>
    <w:rsid w:val="1D4A3BB7"/>
    <w:rsid w:val="1E786D0B"/>
    <w:rsid w:val="1FAD4A10"/>
    <w:rsid w:val="20F77715"/>
    <w:rsid w:val="20F81F3E"/>
    <w:rsid w:val="239545A2"/>
    <w:rsid w:val="250124A7"/>
    <w:rsid w:val="266829C4"/>
    <w:rsid w:val="27A83834"/>
    <w:rsid w:val="284044A0"/>
    <w:rsid w:val="292204CC"/>
    <w:rsid w:val="2A1C4967"/>
    <w:rsid w:val="2C137765"/>
    <w:rsid w:val="2D4442A8"/>
    <w:rsid w:val="2D5C12F4"/>
    <w:rsid w:val="2E5B32F2"/>
    <w:rsid w:val="2E650649"/>
    <w:rsid w:val="2E95179B"/>
    <w:rsid w:val="2F6C5B50"/>
    <w:rsid w:val="30026623"/>
    <w:rsid w:val="308B67FB"/>
    <w:rsid w:val="30B32191"/>
    <w:rsid w:val="316D3AD8"/>
    <w:rsid w:val="32361174"/>
    <w:rsid w:val="329A45A9"/>
    <w:rsid w:val="32F12E1D"/>
    <w:rsid w:val="33E631CE"/>
    <w:rsid w:val="34685EA8"/>
    <w:rsid w:val="353732C0"/>
    <w:rsid w:val="353E569B"/>
    <w:rsid w:val="37623632"/>
    <w:rsid w:val="37883F01"/>
    <w:rsid w:val="38172607"/>
    <w:rsid w:val="38D425D5"/>
    <w:rsid w:val="39292E43"/>
    <w:rsid w:val="392A3A7E"/>
    <w:rsid w:val="394D25C5"/>
    <w:rsid w:val="3A1D0723"/>
    <w:rsid w:val="3B6547BA"/>
    <w:rsid w:val="3B895AD6"/>
    <w:rsid w:val="3C0935D3"/>
    <w:rsid w:val="3C8833AB"/>
    <w:rsid w:val="3D242F53"/>
    <w:rsid w:val="3D485E56"/>
    <w:rsid w:val="3E1D06EA"/>
    <w:rsid w:val="3E366C95"/>
    <w:rsid w:val="3E8278E7"/>
    <w:rsid w:val="3E8F2F3C"/>
    <w:rsid w:val="3EC51971"/>
    <w:rsid w:val="3EF32E48"/>
    <w:rsid w:val="3EFF227E"/>
    <w:rsid w:val="3F732402"/>
    <w:rsid w:val="41B3042B"/>
    <w:rsid w:val="425334F7"/>
    <w:rsid w:val="449D5816"/>
    <w:rsid w:val="44FA5179"/>
    <w:rsid w:val="46134917"/>
    <w:rsid w:val="46B7327B"/>
    <w:rsid w:val="47751AA4"/>
    <w:rsid w:val="487453CB"/>
    <w:rsid w:val="49F44665"/>
    <w:rsid w:val="4BA24FF7"/>
    <w:rsid w:val="4C1F3ED4"/>
    <w:rsid w:val="4C5E715F"/>
    <w:rsid w:val="4C6E52C2"/>
    <w:rsid w:val="4CB3277E"/>
    <w:rsid w:val="4D11468D"/>
    <w:rsid w:val="4D234D20"/>
    <w:rsid w:val="4E8B39BD"/>
    <w:rsid w:val="4F1049DB"/>
    <w:rsid w:val="4FC472DA"/>
    <w:rsid w:val="4FFE0E6C"/>
    <w:rsid w:val="504A5AB4"/>
    <w:rsid w:val="504C5BB5"/>
    <w:rsid w:val="528668AE"/>
    <w:rsid w:val="53182D5B"/>
    <w:rsid w:val="53552FD0"/>
    <w:rsid w:val="54391FB0"/>
    <w:rsid w:val="544955EA"/>
    <w:rsid w:val="56111915"/>
    <w:rsid w:val="561F0438"/>
    <w:rsid w:val="56242FBB"/>
    <w:rsid w:val="5661348C"/>
    <w:rsid w:val="569920D1"/>
    <w:rsid w:val="570C57AD"/>
    <w:rsid w:val="57CF6B9C"/>
    <w:rsid w:val="581D0B1F"/>
    <w:rsid w:val="58873643"/>
    <w:rsid w:val="58A543F4"/>
    <w:rsid w:val="58B27EF4"/>
    <w:rsid w:val="59023101"/>
    <w:rsid w:val="59B210B1"/>
    <w:rsid w:val="5A65009E"/>
    <w:rsid w:val="5A972C21"/>
    <w:rsid w:val="5AB05296"/>
    <w:rsid w:val="5D1A31D4"/>
    <w:rsid w:val="5F8216D1"/>
    <w:rsid w:val="5FCD10E0"/>
    <w:rsid w:val="6258047E"/>
    <w:rsid w:val="62D558B4"/>
    <w:rsid w:val="630A62E7"/>
    <w:rsid w:val="64D97785"/>
    <w:rsid w:val="6535040F"/>
    <w:rsid w:val="6543088F"/>
    <w:rsid w:val="66DD73FD"/>
    <w:rsid w:val="678148F4"/>
    <w:rsid w:val="6785674A"/>
    <w:rsid w:val="67C872D6"/>
    <w:rsid w:val="682F12A4"/>
    <w:rsid w:val="68C74D9D"/>
    <w:rsid w:val="6A9717EA"/>
    <w:rsid w:val="6B856233"/>
    <w:rsid w:val="6CCA2AD5"/>
    <w:rsid w:val="6D050ADE"/>
    <w:rsid w:val="6D5B75C4"/>
    <w:rsid w:val="6D930F42"/>
    <w:rsid w:val="6DFE6777"/>
    <w:rsid w:val="6E443FA2"/>
    <w:rsid w:val="70CA78CD"/>
    <w:rsid w:val="72646494"/>
    <w:rsid w:val="73E61002"/>
    <w:rsid w:val="74A14022"/>
    <w:rsid w:val="74A720C7"/>
    <w:rsid w:val="751A5B5B"/>
    <w:rsid w:val="76067FFC"/>
    <w:rsid w:val="761C476B"/>
    <w:rsid w:val="76465DF1"/>
    <w:rsid w:val="76643BDA"/>
    <w:rsid w:val="76CF69C7"/>
    <w:rsid w:val="76F24130"/>
    <w:rsid w:val="778B25A7"/>
    <w:rsid w:val="78483345"/>
    <w:rsid w:val="78B956C8"/>
    <w:rsid w:val="78E546A3"/>
    <w:rsid w:val="790F6E43"/>
    <w:rsid w:val="79751BF0"/>
    <w:rsid w:val="7B4561F1"/>
    <w:rsid w:val="7CCD1024"/>
    <w:rsid w:val="7D1048D3"/>
    <w:rsid w:val="7F30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Lines/>
      <w:widowControl w:val="0"/>
      <w:numPr>
        <w:ilvl w:val="1"/>
        <w:numId w:val="1"/>
      </w:numPr>
      <w:spacing w:before="260" w:after="260" w:line="408" w:lineRule="auto"/>
      <w:outlineLvl w:val="1"/>
    </w:pPr>
    <w:rPr>
      <w:rFonts w:ascii="Times New Roman" w:hAnsi="Times New Roman" w:eastAsia="宋体" w:cs="Tahoma"/>
      <w:b/>
      <w:bCs/>
      <w:sz w:val="32"/>
      <w:szCs w:val="32"/>
    </w:rPr>
  </w:style>
  <w:style w:type="paragraph" w:styleId="2">
    <w:name w:val="heading 3"/>
    <w:basedOn w:val="1"/>
    <w:next w:val="1"/>
    <w:qFormat/>
    <w:uiPriority w:val="2"/>
    <w:pPr>
      <w:keepLines/>
      <w:numPr>
        <w:ilvl w:val="2"/>
        <w:numId w:val="2"/>
      </w:numPr>
      <w:spacing w:before="260" w:after="260" w:line="408" w:lineRule="auto"/>
      <w:outlineLvl w:val="2"/>
    </w:pPr>
    <w:rPr>
      <w:rFonts w:ascii="Times New Roman" w:hAnsi="Times New Roman" w:eastAsia="宋体" w:cs="Tahom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99"/>
    <w:rPr>
      <w:rFonts w:ascii="宋体"/>
    </w:rPr>
  </w:style>
  <w:style w:type="paragraph" w:styleId="7">
    <w:name w:val="Body Text Indent 2"/>
    <w:basedOn w:val="1"/>
    <w:qFormat/>
    <w:uiPriority w:val="0"/>
    <w:pPr>
      <w:spacing w:line="480" w:lineRule="auto"/>
      <w:ind w:left="420" w:leftChars="200"/>
    </w:pPr>
    <w:rPr>
      <w:rFonts w:ascii="Calibri" w:hAnsi="Calibri" w:eastAsia="宋体" w:cs="Times New Roman"/>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8"/>
    <w:unhideWhenUsed/>
    <w:qFormat/>
    <w:uiPriority w:val="99"/>
    <w:pPr>
      <w:spacing w:before="100" w:beforeLines="0" w:beforeAutospacing="1" w:after="100" w:afterLines="0" w:afterAutospacing="1"/>
      <w:jc w:val="left"/>
    </w:pPr>
    <w:rPr>
      <w:rFonts w:hint="default"/>
      <w:kern w:val="0"/>
      <w:sz w:val="24"/>
    </w:rPr>
  </w:style>
  <w:style w:type="paragraph" w:styleId="11">
    <w:name w:val="Body Text First Indent 2"/>
    <w:basedOn w:val="5"/>
    <w:unhideWhenUsed/>
    <w:qFormat/>
    <w:uiPriority w:val="99"/>
    <w:pPr>
      <w:ind w:firstLine="420" w:firstLineChars="200"/>
    </w:pPr>
    <w:rPr>
      <w:b/>
    </w:rPr>
  </w:style>
  <w:style w:type="character" w:styleId="14">
    <w:name w:val="page number"/>
    <w:qFormat/>
    <w:uiPriority w:val="0"/>
  </w:style>
  <w:style w:type="paragraph" w:styleId="15">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6">
    <w:name w:val="无间隔1"/>
    <w:qFormat/>
    <w:uiPriority w:val="1"/>
    <w:pPr>
      <w:widowControl w:val="0"/>
      <w:spacing w:line="660" w:lineRule="exact"/>
      <w:ind w:firstLine="560" w:firstLineChars="200"/>
    </w:pPr>
    <w:rPr>
      <w:rFonts w:ascii="仿宋_GB2312" w:hAnsi="Calibri" w:eastAsia="仿宋_GB2312" w:cs="Times New Roman"/>
      <w:kern w:val="10"/>
      <w:sz w:val="28"/>
      <w:szCs w:val="28"/>
      <w:lang w:val="en-US" w:eastAsia="zh-CN" w:bidi="en-US"/>
    </w:rPr>
  </w:style>
  <w:style w:type="paragraph" w:customStyle="1" w:styleId="17">
    <w:name w:val="标题二"/>
    <w:basedOn w:val="1"/>
    <w:qFormat/>
    <w:uiPriority w:val="0"/>
    <w:pPr>
      <w:snapToGrid w:val="0"/>
      <w:spacing w:before="100" w:beforeLines="100" w:line="360" w:lineRule="auto"/>
      <w:ind w:firstLine="200" w:firstLineChars="200"/>
    </w:pPr>
    <w:rPr>
      <w:rFonts w:ascii="仿宋" w:hAnsi="仿宋" w:eastAsia="仿宋"/>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巴财农督1-7号.docx</Template>
  <Pages>8</Pages>
  <Words>4311</Words>
  <Characters>5009</Characters>
  <Lines>0</Lines>
  <Paragraphs>0</Paragraphs>
  <TotalTime>1</TotalTime>
  <ScaleCrop>false</ScaleCrop>
  <LinksUpToDate>false</LinksUpToDate>
  <CharactersWithSpaces>5087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2020-04-15T04:43:00Z</dcterms:created>
  <dc:creator>Administrator</dc:creator>
  <cp:lastModifiedBy>Administrator</cp:lastModifiedBy>
  <cp:lastPrinted>2023-09-24T11:25:00Z</cp:lastPrinted>
  <dcterms:modified xsi:type="dcterms:W3CDTF">2024-11-25T08:54:20Z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17DCEA96912B434691E41EE744BCB877</vt:lpwstr>
  </property>
</Properties>
</file>