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ind w:firstLine="0" w:firstLineChars="0"/>
        <w:jc w:val="center"/>
        <w:rPr>
          <w:rFonts w:eastAsia="黑体"/>
          <w:sz w:val="30"/>
          <w:szCs w:val="30"/>
        </w:rPr>
      </w:pPr>
    </w:p>
    <w:p>
      <w:pPr>
        <w:pBdr>
          <w:bottom w:val="dotDotDash" w:color="auto" w:sz="24" w:space="10"/>
        </w:pBdr>
        <w:adjustRightInd/>
        <w:spacing w:before="312" w:beforeLines="100" w:after="312" w:afterLines="100"/>
        <w:ind w:firstLine="0" w:firstLineChars="0"/>
        <w:jc w:val="center"/>
        <w:rPr>
          <w:rFonts w:eastAsia="黑体"/>
          <w:b/>
          <w:sz w:val="30"/>
          <w:szCs w:val="30"/>
        </w:rPr>
      </w:pPr>
    </w:p>
    <w:p>
      <w:pPr>
        <w:pBdr>
          <w:bottom w:val="dotDotDash" w:color="auto" w:sz="24" w:space="10"/>
        </w:pBdr>
        <w:adjustRightInd/>
        <w:spacing w:before="312" w:beforeLines="100" w:after="312" w:afterLines="100"/>
        <w:ind w:firstLine="0" w:firstLineChars="0"/>
        <w:jc w:val="center"/>
        <w:rPr>
          <w:rFonts w:eastAsia="黑体"/>
          <w:b/>
          <w:sz w:val="30"/>
          <w:szCs w:val="30"/>
        </w:rPr>
      </w:pPr>
    </w:p>
    <w:p>
      <w:pPr>
        <w:widowControl/>
        <w:pBdr>
          <w:bottom w:val="dotDotDash" w:color="auto" w:sz="24" w:space="10"/>
        </w:pBdr>
        <w:adjustRightInd/>
        <w:spacing w:before="156" w:beforeLines="50" w:after="312" w:afterLines="100" w:line="240" w:lineRule="auto"/>
        <w:ind w:firstLine="0" w:firstLineChars="0"/>
        <w:jc w:val="center"/>
        <w:textAlignment w:val="center"/>
      </w:pPr>
      <w:r>
        <w:rPr>
          <w:rFonts w:hint="eastAsia" w:eastAsia="黑体"/>
          <w:b/>
          <w:sz w:val="44"/>
          <w:szCs w:val="22"/>
        </w:rPr>
        <w:t>巴楚县农业农村机械化发展中心</w:t>
      </w:r>
    </w:p>
    <w:p>
      <w:pPr>
        <w:pBdr>
          <w:bottom w:val="dotDotDash" w:color="auto" w:sz="24" w:space="10"/>
        </w:pBdr>
        <w:adjustRightInd/>
        <w:spacing w:before="156" w:beforeLines="50" w:after="312" w:afterLines="100"/>
        <w:ind w:firstLine="0" w:firstLineChars="0"/>
        <w:jc w:val="center"/>
        <w:textAlignment w:val="center"/>
        <w:rPr>
          <w:rFonts w:eastAsia="黑体"/>
          <w:b/>
          <w:sz w:val="44"/>
          <w:szCs w:val="22"/>
        </w:rPr>
      </w:pPr>
      <w:r>
        <w:rPr>
          <w:rFonts w:eastAsia="黑体"/>
          <w:b/>
          <w:sz w:val="44"/>
          <w:szCs w:val="22"/>
        </w:rPr>
        <w:t>2022年农业机械购置补贴项目</w:t>
      </w:r>
    </w:p>
    <w:p>
      <w:pPr>
        <w:adjustRightInd/>
        <w:ind w:firstLine="0" w:firstLineChars="0"/>
        <w:jc w:val="center"/>
        <w:rPr>
          <w:rFonts w:eastAsia="黑体"/>
          <w:sz w:val="44"/>
          <w:szCs w:val="44"/>
        </w:rPr>
      </w:pPr>
      <w:r>
        <w:rPr>
          <w:rFonts w:eastAsia="黑体"/>
          <w:spacing w:val="23"/>
          <w:kern w:val="0"/>
          <w:sz w:val="44"/>
          <w:szCs w:val="44"/>
          <w:fitText w:val="2872" w:id="1924366299"/>
        </w:rPr>
        <w:t>绩效评价报</w:t>
      </w:r>
      <w:r>
        <w:rPr>
          <w:rFonts w:eastAsia="黑体"/>
          <w:spacing w:val="1"/>
          <w:kern w:val="0"/>
          <w:sz w:val="44"/>
          <w:szCs w:val="44"/>
          <w:fitText w:val="2872" w:id="1924366299"/>
        </w:rPr>
        <w:t>告</w:t>
      </w:r>
    </w:p>
    <w:p>
      <w:pPr>
        <w:adjustRightInd/>
        <w:ind w:firstLine="0" w:firstLineChars="0"/>
        <w:jc w:val="center"/>
        <w:rPr>
          <w:b/>
          <w:sz w:val="32"/>
          <w:szCs w:val="22"/>
        </w:rPr>
      </w:pPr>
      <w:r>
        <w:t>驰天会咨字[20</w:t>
      </w:r>
      <w:r>
        <w:rPr>
          <w:rFonts w:eastAsia="等线"/>
        </w:rPr>
        <w:t>23</w:t>
      </w:r>
      <w:r>
        <w:t>]1-</w:t>
      </w:r>
      <w:r>
        <w:rPr>
          <w:rFonts w:eastAsia="等线"/>
        </w:rPr>
        <w:t>0158</w:t>
      </w:r>
      <w:r>
        <w:t>号</w:t>
      </w: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jc w:val="center"/>
        <w:rPr>
          <w:b/>
          <w:sz w:val="32"/>
          <w:szCs w:val="22"/>
        </w:rPr>
      </w:pPr>
    </w:p>
    <w:p>
      <w:pPr>
        <w:adjustRightInd/>
        <w:ind w:firstLine="0" w:firstLineChars="0"/>
        <w:rPr>
          <w:b/>
          <w:sz w:val="32"/>
          <w:szCs w:val="22"/>
        </w:rPr>
      </w:pPr>
    </w:p>
    <w:p>
      <w:pPr>
        <w:pStyle w:val="8"/>
        <w:ind w:firstLine="643"/>
        <w:rPr>
          <w:b/>
          <w:sz w:val="32"/>
          <w:szCs w:val="22"/>
        </w:rPr>
      </w:pPr>
    </w:p>
    <w:p>
      <w:pPr>
        <w:pStyle w:val="16"/>
        <w:ind w:firstLine="0" w:firstLineChars="0"/>
      </w:pPr>
    </w:p>
    <w:p>
      <w:pPr>
        <w:pStyle w:val="16"/>
        <w:ind w:firstLine="420"/>
      </w:pPr>
    </w:p>
    <w:p>
      <w:pPr>
        <w:adjustRightInd/>
        <w:spacing w:line="360" w:lineRule="exact"/>
        <w:ind w:firstLine="0" w:firstLineChars="0"/>
        <w:jc w:val="center"/>
        <w:rPr>
          <w:b/>
          <w:sz w:val="32"/>
          <w:szCs w:val="22"/>
        </w:rPr>
      </w:pPr>
      <w:r>
        <w:rPr>
          <w:b/>
          <w:sz w:val="32"/>
          <w:szCs w:val="22"/>
        </w:rPr>
        <w:t>新疆驰远天合有限责任会计师事务所</w:t>
      </w:r>
    </w:p>
    <w:p>
      <w:pPr>
        <w:adjustRightInd/>
        <w:spacing w:line="360" w:lineRule="exact"/>
        <w:ind w:firstLine="0" w:firstLineChars="0"/>
        <w:jc w:val="center"/>
        <w:rPr>
          <w:rFonts w:eastAsia="等线"/>
          <w:b/>
          <w:sz w:val="28"/>
          <w:szCs w:val="28"/>
        </w:rPr>
      </w:pPr>
      <w:r>
        <w:rPr>
          <w:rFonts w:eastAsia="等线"/>
          <w:b/>
          <w:sz w:val="28"/>
          <w:szCs w:val="28"/>
        </w:rPr>
        <w:t>XIN JIANG CHI YUAN TIAN HE</w:t>
      </w:r>
    </w:p>
    <w:p>
      <w:pPr>
        <w:adjustRightInd/>
        <w:spacing w:line="360" w:lineRule="exact"/>
        <w:ind w:firstLine="0" w:firstLineChars="0"/>
        <w:jc w:val="center"/>
        <w:rPr>
          <w:rFonts w:eastAsia="等线"/>
          <w:b/>
        </w:rPr>
      </w:pPr>
      <w:r>
        <w:rPr>
          <w:rFonts w:eastAsia="等线"/>
          <w:b/>
        </w:rPr>
        <w:t>Certified Public Accountants Co.</w:t>
      </w:r>
      <w:r>
        <w:rPr>
          <w:rFonts w:hint="eastAsia" w:eastAsia="等线"/>
          <w:b/>
          <w:lang w:eastAsia="zh-CN"/>
        </w:rPr>
        <w:t>，</w:t>
      </w:r>
      <w:r>
        <w:rPr>
          <w:rFonts w:eastAsia="等线"/>
          <w:b/>
        </w:rPr>
        <w:t>Ltd.</w:t>
      </w:r>
    </w:p>
    <w:p>
      <w:pPr>
        <w:adjustRightInd/>
        <w:ind w:firstLine="0" w:firstLineChars="0"/>
        <w:rPr>
          <w:rFonts w:eastAsia="黑体"/>
          <w:b/>
          <w:sz w:val="44"/>
          <w:szCs w:val="44"/>
        </w:rPr>
      </w:pPr>
      <w:r>
        <w:rPr>
          <w:rFonts w:eastAsia="黑体"/>
          <w:b/>
          <w:sz w:val="44"/>
          <w:szCs w:val="44"/>
        </w:rPr>
        <w:br w:type="page"/>
      </w:r>
    </w:p>
    <w:p>
      <w:pPr>
        <w:ind w:firstLine="0" w:firstLineChars="0"/>
        <w:rPr>
          <w:rFonts w:eastAsia="黑体"/>
          <w:bCs/>
          <w:sz w:val="24"/>
          <w:szCs w:val="24"/>
        </w:rPr>
      </w:pPr>
      <w:r>
        <w:rPr>
          <w:rFonts w:eastAsia="黑体"/>
          <w:bCs/>
          <w:sz w:val="24"/>
          <w:szCs w:val="24"/>
        </w:rPr>
        <w:t>项目名称：2022年农业机械购置补贴项目</w:t>
      </w:r>
    </w:p>
    <w:p>
      <w:pPr>
        <w:widowControl/>
        <w:ind w:firstLine="0" w:firstLineChars="0"/>
        <w:rPr>
          <w:rFonts w:eastAsia="黑体"/>
          <w:bCs/>
          <w:sz w:val="24"/>
          <w:szCs w:val="24"/>
        </w:rPr>
      </w:pPr>
      <w:r>
        <w:rPr>
          <w:rFonts w:eastAsia="黑体"/>
          <w:bCs/>
          <w:sz w:val="24"/>
          <w:szCs w:val="24"/>
        </w:rPr>
        <w:t>委托单位：巴楚县财政局</w:t>
      </w:r>
    </w:p>
    <w:p>
      <w:pPr>
        <w:widowControl/>
        <w:ind w:firstLine="0" w:firstLineChars="0"/>
        <w:rPr>
          <w:rFonts w:eastAsia="黑体"/>
          <w:bCs/>
          <w:sz w:val="24"/>
          <w:szCs w:val="24"/>
        </w:rPr>
      </w:pPr>
      <w:r>
        <w:rPr>
          <w:rFonts w:eastAsia="黑体"/>
          <w:bCs/>
          <w:sz w:val="24"/>
          <w:szCs w:val="24"/>
        </w:rPr>
        <w:t>评价机构：新疆驰远天合有限责任会计师事务所</w:t>
      </w:r>
    </w:p>
    <w:p>
      <w:pPr>
        <w:widowControl/>
        <w:ind w:firstLine="0" w:firstLineChars="0"/>
        <w:rPr>
          <w:rFonts w:eastAsia="黑体"/>
          <w:bCs/>
          <w:sz w:val="24"/>
          <w:szCs w:val="24"/>
        </w:rPr>
      </w:pPr>
      <w:r>
        <w:rPr>
          <w:rFonts w:eastAsia="黑体"/>
          <w:bCs/>
          <w:sz w:val="24"/>
          <w:szCs w:val="24"/>
        </w:rPr>
        <w:t>机构负责人：孙卫红</w:t>
      </w:r>
    </w:p>
    <w:p>
      <w:pPr>
        <w:widowControl/>
        <w:ind w:firstLine="0" w:firstLineChars="0"/>
        <w:rPr>
          <w:rFonts w:eastAsia="黑体"/>
          <w:bCs/>
          <w:sz w:val="24"/>
          <w:szCs w:val="24"/>
        </w:rPr>
      </w:pPr>
      <w:r>
        <w:rPr>
          <w:rFonts w:eastAsia="黑体"/>
          <w:bCs/>
          <w:sz w:val="24"/>
          <w:szCs w:val="24"/>
        </w:rPr>
        <w:t>联系方式：0991-2835917、0991-2831583</w:t>
      </w:r>
    </w:p>
    <w:p>
      <w:pPr>
        <w:widowControl/>
        <w:ind w:firstLine="0" w:firstLineChars="0"/>
        <w:rPr>
          <w:rFonts w:eastAsia="黑体"/>
          <w:bCs/>
          <w:sz w:val="24"/>
          <w:szCs w:val="24"/>
        </w:rPr>
      </w:pPr>
      <w:r>
        <w:rPr>
          <w:rFonts w:eastAsia="黑体"/>
          <w:bCs/>
          <w:sz w:val="24"/>
          <w:szCs w:val="24"/>
        </w:rPr>
        <w:t>通讯地址：新疆乌鲁木齐市天山区新华南路9号汇源大厦13楼</w:t>
      </w:r>
    </w:p>
    <w:p>
      <w:pPr>
        <w:widowControl/>
        <w:ind w:firstLine="0" w:firstLineChars="0"/>
        <w:rPr>
          <w:rFonts w:eastAsia="黑体"/>
          <w:bCs/>
          <w:sz w:val="24"/>
          <w:szCs w:val="24"/>
        </w:rPr>
      </w:pPr>
      <w:r>
        <w:rPr>
          <w:rFonts w:eastAsia="黑体"/>
          <w:bCs/>
          <w:sz w:val="24"/>
          <w:szCs w:val="24"/>
        </w:rPr>
        <w:t>邮政编码：830004</w:t>
      </w:r>
    </w:p>
    <w:p>
      <w:pPr>
        <w:widowControl/>
        <w:ind w:firstLine="0" w:firstLineChars="0"/>
        <w:rPr>
          <w:rFonts w:eastAsia="黑体"/>
          <w:bCs/>
          <w:sz w:val="24"/>
          <w:szCs w:val="24"/>
        </w:rPr>
      </w:pPr>
    </w:p>
    <w:p>
      <w:pPr>
        <w:widowControl/>
        <w:ind w:firstLine="0" w:firstLineChars="0"/>
        <w:rPr>
          <w:rFonts w:eastAsia="黑体"/>
          <w:bCs/>
          <w:sz w:val="24"/>
          <w:szCs w:val="24"/>
        </w:rPr>
      </w:pPr>
    </w:p>
    <w:p>
      <w:pPr>
        <w:widowControl/>
        <w:spacing w:line="560" w:lineRule="exact"/>
        <w:ind w:firstLine="0" w:firstLineChars="0"/>
        <w:rPr>
          <w:rFonts w:eastAsia="黑体"/>
          <w:bCs/>
          <w:sz w:val="24"/>
          <w:szCs w:val="24"/>
        </w:rPr>
      </w:pPr>
      <w:r>
        <w:rPr>
          <w:rFonts w:eastAsia="黑体"/>
          <w:bCs/>
          <w:sz w:val="24"/>
          <w:szCs w:val="24"/>
        </w:rPr>
        <w:t>项目评价小组成员：</w:t>
      </w:r>
    </w:p>
    <w:p>
      <w:pPr>
        <w:widowControl/>
        <w:spacing w:line="560" w:lineRule="exact"/>
        <w:ind w:firstLine="0" w:firstLineChars="0"/>
        <w:rPr>
          <w:rFonts w:eastAsia="黑体"/>
          <w:bCs/>
          <w:sz w:val="24"/>
          <w:szCs w:val="24"/>
        </w:rPr>
      </w:pPr>
      <w:r>
        <w:rPr>
          <w:rFonts w:eastAsia="黑体"/>
          <w:bCs/>
          <w:sz w:val="24"/>
          <w:szCs w:val="24"/>
        </w:rPr>
        <w:t>主评人：冯延萍</w:t>
      </w:r>
    </w:p>
    <w:p>
      <w:pPr>
        <w:widowControl/>
        <w:ind w:firstLine="0" w:firstLineChars="0"/>
        <w:rPr>
          <w:rFonts w:eastAsia="黑体"/>
          <w:bCs/>
          <w:sz w:val="24"/>
          <w:szCs w:val="24"/>
        </w:rPr>
      </w:pPr>
    </w:p>
    <w:p>
      <w:pPr>
        <w:widowControl/>
        <w:spacing w:line="560" w:lineRule="exact"/>
        <w:ind w:firstLine="0" w:firstLineChars="0"/>
        <w:rPr>
          <w:rFonts w:eastAsia="黑体"/>
          <w:bCs/>
          <w:sz w:val="24"/>
          <w:szCs w:val="24"/>
        </w:rPr>
      </w:pPr>
      <w:r>
        <w:rPr>
          <w:rFonts w:eastAsia="黑体"/>
          <w:bCs/>
          <w:sz w:val="24"/>
          <w:szCs w:val="24"/>
        </w:rPr>
        <w:t>质量复核人员：腊晓林</w:t>
      </w:r>
    </w:p>
    <w:p>
      <w:pPr>
        <w:widowControl/>
        <w:spacing w:line="560" w:lineRule="exact"/>
        <w:ind w:firstLine="0" w:firstLineChars="0"/>
        <w:rPr>
          <w:rFonts w:eastAsia="黑体"/>
          <w:bCs/>
          <w:sz w:val="24"/>
          <w:szCs w:val="24"/>
        </w:rPr>
      </w:pPr>
      <w:r>
        <w:rPr>
          <w:rFonts w:eastAsia="黑体"/>
          <w:bCs/>
          <w:sz w:val="24"/>
          <w:szCs w:val="24"/>
        </w:rPr>
        <w:t>报告撰写人员：王丽</w:t>
      </w:r>
    </w:p>
    <w:p>
      <w:pPr>
        <w:widowControl/>
        <w:spacing w:line="560" w:lineRule="exact"/>
        <w:ind w:firstLine="0" w:firstLineChars="0"/>
        <w:rPr>
          <w:rFonts w:eastAsia="黑体"/>
          <w:bCs/>
          <w:sz w:val="24"/>
          <w:szCs w:val="24"/>
        </w:rPr>
      </w:pPr>
      <w:r>
        <w:rPr>
          <w:rFonts w:eastAsia="黑体"/>
          <w:bCs/>
          <w:sz w:val="24"/>
          <w:szCs w:val="24"/>
        </w:rPr>
        <w:t>助理人员：赵夏清、石俊宇</w:t>
      </w:r>
    </w:p>
    <w:p>
      <w:pPr>
        <w:keepNext/>
        <w:keepLines/>
        <w:adjustRightInd/>
        <w:ind w:firstLine="0" w:firstLineChars="0"/>
        <w:rPr>
          <w:rFonts w:eastAsia="黑体"/>
          <w:bCs/>
          <w:sz w:val="24"/>
          <w:szCs w:val="24"/>
        </w:rPr>
        <w:sectPr>
          <w:headerReference r:id="rId3" w:type="default"/>
          <w:footerReference r:id="rId4" w:type="default"/>
          <w:pgSz w:w="11906" w:h="16838"/>
          <w:pgMar w:top="1440" w:right="1797" w:bottom="1440" w:left="1797" w:header="851" w:footer="992" w:gutter="0"/>
          <w:pgNumType w:fmt="upperRoman" w:start="1"/>
          <w:cols w:space="720" w:num="1"/>
          <w:docGrid w:type="lines" w:linePitch="312" w:charSpace="0"/>
        </w:sectPr>
      </w:pPr>
    </w:p>
    <w:p>
      <w:pPr>
        <w:pStyle w:val="5"/>
        <w:spacing w:line="360" w:lineRule="auto"/>
        <w:ind w:firstLine="0" w:firstLineChars="0"/>
        <w:jc w:val="center"/>
        <w:rPr>
          <w:rFonts w:ascii="Times New Roman" w:hAnsi="Times New Roman"/>
        </w:rPr>
      </w:pPr>
      <w:bookmarkStart w:id="0" w:name="_Toc10292"/>
      <w:bookmarkStart w:id="1" w:name="_Toc13486"/>
      <w:bookmarkStart w:id="2" w:name="_Toc26712"/>
      <w:bookmarkStart w:id="3" w:name="_Toc16666"/>
      <w:bookmarkStart w:id="4" w:name="_Toc17859"/>
      <w:r>
        <w:rPr>
          <w:rFonts w:ascii="Times New Roman" w:hAnsi="Times New Roman"/>
          <w:szCs w:val="32"/>
        </w:rPr>
        <w:t>报告摘要</w:t>
      </w:r>
      <w:bookmarkEnd w:id="0"/>
      <w:bookmarkEnd w:id="1"/>
      <w:bookmarkEnd w:id="2"/>
      <w:bookmarkEnd w:id="3"/>
      <w:bookmarkEnd w:id="4"/>
    </w:p>
    <w:p>
      <w:pPr>
        <w:ind w:firstLine="420"/>
      </w:pPr>
      <w:r>
        <w:t>受巴楚县财政局委托，新疆驰远天合有限责任会计师事务所以第三方社会评价机构的身份，对巴楚县农业农村机械化发展中心实施的</w:t>
      </w:r>
      <w:r>
        <w:rPr>
          <w:rFonts w:eastAsia="宋体"/>
        </w:rPr>
        <w:t>2022年农业机械购置补贴项目</w:t>
      </w:r>
      <w:r>
        <w:t>开展了绩效评价工作并形成绩效评价报告，评价情况如下：</w:t>
      </w:r>
    </w:p>
    <w:p>
      <w:pPr>
        <w:ind w:firstLine="482"/>
        <w:rPr>
          <w:b/>
          <w:bCs/>
          <w:sz w:val="24"/>
          <w:szCs w:val="28"/>
        </w:rPr>
      </w:pPr>
      <w:r>
        <w:rPr>
          <w:b/>
          <w:bCs/>
          <w:sz w:val="24"/>
          <w:szCs w:val="28"/>
        </w:rPr>
        <w:t>一、基本情况</w:t>
      </w:r>
    </w:p>
    <w:p>
      <w:pPr>
        <w:ind w:firstLine="422"/>
        <w:rPr>
          <w:b/>
          <w:bCs/>
        </w:rPr>
      </w:pPr>
      <w:r>
        <w:rPr>
          <w:b/>
          <w:bCs/>
        </w:rPr>
        <w:t>（一）项目概况</w:t>
      </w:r>
    </w:p>
    <w:p>
      <w:pPr>
        <w:ind w:firstLine="420"/>
      </w:pPr>
      <w:r>
        <w:t>项目名称：2022年农业机械购置补贴项目（以下简称</w:t>
      </w:r>
      <w:r>
        <w:rPr>
          <w:rFonts w:hint="eastAsia"/>
          <w:lang w:eastAsia="zh-CN"/>
        </w:rPr>
        <w:t>“</w:t>
      </w:r>
      <w:r>
        <w:t>该项目</w:t>
      </w:r>
      <w:r>
        <w:rPr>
          <w:rFonts w:hint="eastAsia"/>
          <w:lang w:eastAsia="zh-CN"/>
        </w:rPr>
        <w:t>”</w:t>
      </w:r>
      <w:r>
        <w:t>或</w:t>
      </w:r>
      <w:r>
        <w:rPr>
          <w:rFonts w:hint="eastAsia"/>
          <w:lang w:eastAsia="zh-CN"/>
        </w:rPr>
        <w:t>“</w:t>
      </w:r>
      <w:r>
        <w:t>项目</w:t>
      </w:r>
      <w:r>
        <w:rPr>
          <w:rFonts w:hint="eastAsia"/>
          <w:lang w:eastAsia="zh-CN"/>
        </w:rPr>
        <w:t>”</w:t>
      </w:r>
      <w:r>
        <w:t>）</w:t>
      </w:r>
    </w:p>
    <w:p>
      <w:pPr>
        <w:ind w:firstLine="420"/>
      </w:pPr>
      <w:r>
        <w:t>项目背景：农业机械化和农机装备是转变农业发展方式、提高农村生产力的重要基础，是实施乡村振兴战略的重要支撑。《关于加快推进农业机械化和农机装备产业转型升级的指导意见》（国发〔2018〕42号）、《新疆维吾尔自治区人民政府关于加快推进农业机械化和农机装备产业转型升级的实施意见》（新政发〔2019〕61号）等政策，均提出推动农机装备产业发展、推进农业机械化向全程全面高质高效升级的目标。近年来，我国农机制造水平稳步提升，农机装备总量持续增长，农机作业水平快速提高，农业生产已从主要依靠人力畜力转向主要依靠机械动力，进入了机械化为主导的新阶段。巴楚县农业农村机械化发展中心根据为进一步提高巴楚县农作物的机械化和数字化水平，以加快推进巴楚县</w:t>
      </w:r>
      <w:r>
        <w:rPr>
          <w:rFonts w:hint="eastAsia"/>
          <w:lang w:eastAsia="zh-CN"/>
        </w:rPr>
        <w:t>“</w:t>
      </w:r>
      <w:r>
        <w:t>农业机械化+数字化</w:t>
      </w:r>
      <w:r>
        <w:rPr>
          <w:rFonts w:hint="eastAsia"/>
          <w:lang w:eastAsia="zh-CN"/>
        </w:rPr>
        <w:t>”</w:t>
      </w:r>
      <w:r>
        <w:t>发展进程</w:t>
      </w:r>
      <w:r>
        <w:rPr>
          <w:rFonts w:hint="eastAsia"/>
          <w:lang w:eastAsia="zh-CN"/>
        </w:rPr>
        <w:t>”</w:t>
      </w:r>
      <w:r>
        <w:t>为目的，实施该项目。</w:t>
      </w:r>
    </w:p>
    <w:p>
      <w:pPr>
        <w:ind w:firstLine="420"/>
      </w:pPr>
      <w:r>
        <w:rPr>
          <w:lang w:eastAsia="zh-Hans"/>
        </w:rPr>
        <w:t>项目内容：</w:t>
      </w:r>
      <w:r>
        <w:t>开展农机购置及应用补贴，根据中央财政补贴的机具种类范围15大类42个小类155个品目，为巴楚县各乡镇符合补贴条件的1485台农机机具（920台农业动力机械和565台配套机具）进行补贴，享受补贴农户1149户。</w:t>
      </w:r>
    </w:p>
    <w:p>
      <w:pPr>
        <w:ind w:firstLine="420"/>
      </w:pPr>
      <w:r>
        <w:t>资金投入和使用情况：该项目预算资金总额为5412.00万元，其中：财政资金5412.00万元，其他资金0.00万元；实际到位资金5412.00万元，其中：财政资金5412.00万元，其他资金0.00万元，资金到位率为100.00%；实际支出资金总额为5402.91万元，预算资金执行率为99.83%。</w:t>
      </w:r>
    </w:p>
    <w:p>
      <w:pPr>
        <w:ind w:firstLine="420"/>
      </w:pPr>
      <w:r>
        <w:t>绩效</w:t>
      </w:r>
      <w:r>
        <w:rPr>
          <w:lang w:eastAsia="zh-Hans"/>
        </w:rPr>
        <w:t>评价</w:t>
      </w:r>
      <w:r>
        <w:t>时间</w:t>
      </w:r>
      <w:r>
        <w:rPr>
          <w:lang w:eastAsia="zh-Hans"/>
        </w:rPr>
        <w:t>：202</w:t>
      </w:r>
      <w:r>
        <w:t>3</w:t>
      </w:r>
      <w:r>
        <w:rPr>
          <w:lang w:eastAsia="zh-Hans"/>
        </w:rPr>
        <w:t>年</w:t>
      </w:r>
      <w:r>
        <w:t>6</w:t>
      </w:r>
      <w:r>
        <w:rPr>
          <w:lang w:eastAsia="zh-Hans"/>
        </w:rPr>
        <w:t>月</w:t>
      </w:r>
      <w:r>
        <w:t>1</w:t>
      </w:r>
      <w:r>
        <w:rPr>
          <w:lang w:eastAsia="zh-Hans"/>
        </w:rPr>
        <w:t>日至202</w:t>
      </w:r>
      <w:r>
        <w:t>3</w:t>
      </w:r>
      <w:r>
        <w:rPr>
          <w:lang w:eastAsia="zh-Hans"/>
        </w:rPr>
        <w:t>年</w:t>
      </w:r>
      <w:r>
        <w:t>7</w:t>
      </w:r>
      <w:r>
        <w:rPr>
          <w:lang w:eastAsia="zh-Hans"/>
        </w:rPr>
        <w:t>月</w:t>
      </w:r>
      <w:r>
        <w:t>31</w:t>
      </w:r>
      <w:r>
        <w:rPr>
          <w:lang w:eastAsia="zh-Hans"/>
        </w:rPr>
        <w:t>日</w:t>
      </w:r>
      <w:r>
        <w:t>。</w:t>
      </w:r>
    </w:p>
    <w:p>
      <w:pPr>
        <w:ind w:firstLine="422"/>
        <w:rPr>
          <w:b/>
          <w:bCs/>
        </w:rPr>
      </w:pPr>
      <w:r>
        <w:rPr>
          <w:b/>
          <w:bCs/>
        </w:rPr>
        <w:t>（二）评价工作概况</w:t>
      </w:r>
    </w:p>
    <w:p>
      <w:pPr>
        <w:ind w:firstLine="420"/>
      </w:pPr>
      <w:r>
        <w:t>本次项目绩效评价时段确定</w:t>
      </w:r>
      <w:r>
        <w:rPr>
          <w:lang w:eastAsia="zh-Hans"/>
        </w:rPr>
        <w:t>为202</w:t>
      </w:r>
      <w:r>
        <w:t>2</w:t>
      </w:r>
      <w:r>
        <w:rPr>
          <w:lang w:eastAsia="zh-Hans"/>
        </w:rPr>
        <w:t>年</w:t>
      </w:r>
      <w:r>
        <w:t>1</w:t>
      </w:r>
      <w:r>
        <w:rPr>
          <w:lang w:eastAsia="zh-Hans"/>
        </w:rPr>
        <w:t>月至202</w:t>
      </w:r>
      <w:r>
        <w:t>2</w:t>
      </w:r>
      <w:r>
        <w:rPr>
          <w:lang w:eastAsia="zh-Hans"/>
        </w:rPr>
        <w:t>年</w:t>
      </w:r>
      <w:r>
        <w:t>12</w:t>
      </w:r>
      <w:r>
        <w:rPr>
          <w:lang w:eastAsia="zh-Hans"/>
        </w:rPr>
        <w:t>月。本次评价</w:t>
      </w:r>
      <w:r>
        <w:t>目的是为全面了解该项目预算编制合理性、资金使用合规性、项目管理的规范性、项目目标的实现情况、服务对象的满意度等，对2022年农业机械购置补贴项目支出的经济性、效率性、效益性和公平性进行客观、公正的测量、分析和评判，通过本次绩效评价来总结经验和教训，促进项目成果转化和应用，为今后类似项目的长效管理，提供可行性参考建议。项目组结合评价内容，从三方面实施绩效评价：一是通过资料查阅了解项目政策、立项背景和决策过程等；二是通过走访项目实地调研，了解项目实施完成真实情况；三是通过等基础数据采集、发放问卷、书面访谈等方式多渠道获取评价信息。</w:t>
      </w:r>
    </w:p>
    <w:p>
      <w:pPr>
        <w:ind w:firstLine="482"/>
        <w:rPr>
          <w:b/>
          <w:bCs/>
          <w:sz w:val="24"/>
          <w:szCs w:val="28"/>
        </w:rPr>
      </w:pPr>
      <w:r>
        <w:rPr>
          <w:b/>
          <w:bCs/>
          <w:sz w:val="24"/>
          <w:szCs w:val="28"/>
        </w:rPr>
        <w:t>二、评价结论</w:t>
      </w:r>
    </w:p>
    <w:p>
      <w:pPr>
        <w:ind w:firstLine="420"/>
      </w:pPr>
      <w:r>
        <w:rPr>
          <w:lang w:val="zh-TW" w:eastAsia="zh-TW"/>
        </w:rPr>
        <w:t>通过调研、数据分析、访谈等方式，根据工作方案确定的指标体系及评分标准，对</w:t>
      </w:r>
      <w:r>
        <w:rPr>
          <w:rFonts w:hint="eastAsia"/>
          <w:lang w:val="zh-TW" w:eastAsia="zh-CN"/>
        </w:rPr>
        <w:t>“</w:t>
      </w:r>
      <w:r>
        <w:rPr>
          <w:szCs w:val="22"/>
        </w:rPr>
        <w:t>2022年农业机</w:t>
      </w:r>
      <w:r>
        <w:rPr>
          <w:rFonts w:eastAsia="宋体"/>
        </w:rPr>
        <w:t>械购置补贴项目</w:t>
      </w:r>
      <w:r>
        <w:rPr>
          <w:rFonts w:hint="eastAsia" w:eastAsia="宋体"/>
          <w:lang w:val="zh-TW" w:eastAsia="zh-CN"/>
        </w:rPr>
        <w:t>”</w:t>
      </w:r>
      <w:r>
        <w:rPr>
          <w:lang w:val="zh-TW" w:eastAsia="zh-TW"/>
        </w:rPr>
        <w:t>绩效进行客观评价</w:t>
      </w:r>
      <w:r>
        <w:t>，</w:t>
      </w:r>
      <w:r>
        <w:rPr>
          <w:lang w:val="zh-TW" w:eastAsia="zh-TW"/>
        </w:rPr>
        <w:t>该项目项目</w:t>
      </w:r>
      <w:r>
        <w:t>组织</w:t>
      </w:r>
      <w:r>
        <w:rPr>
          <w:lang w:val="zh-TW" w:eastAsia="zh-TW"/>
        </w:rPr>
        <w:t>管理方面比较规范，</w:t>
      </w:r>
      <w:r>
        <w:t>农机购置补贴及农机报废补贴发放</w:t>
      </w:r>
      <w:r>
        <w:rPr>
          <w:lang w:val="zh-TW" w:eastAsia="zh-TW"/>
        </w:rPr>
        <w:t>完成情况良好，实现了提高农业机械化生产和社会化服务水平，促进农机科技进步等预期目标。依据《中共中央国务院关于全面实施预算绩效管理的意见》（中发〔2018〕34号）、《项目支出绩效评价管理办法》（财预〔2020〕10号）以及《关于进一步加强和规范喀什地区项目支出</w:t>
      </w:r>
      <w:r>
        <w:rPr>
          <w:rFonts w:hint="eastAsia"/>
          <w:lang w:val="zh-TW" w:eastAsia="zh-CN"/>
        </w:rPr>
        <w:t>“</w:t>
      </w:r>
      <w:r>
        <w:rPr>
          <w:lang w:val="zh-TW" w:eastAsia="zh-TW"/>
        </w:rPr>
        <w:t>全过程</w:t>
      </w:r>
      <w:r>
        <w:rPr>
          <w:rFonts w:hint="eastAsia"/>
          <w:lang w:val="zh-TW" w:eastAsia="zh-CN"/>
        </w:rPr>
        <w:t>”</w:t>
      </w:r>
      <w:r>
        <w:rPr>
          <w:lang w:val="zh-TW" w:eastAsia="zh-TW"/>
        </w:rPr>
        <w:t>预算绩效管理结果应用的通知》（喀地财绩〔2022〕2号）文件，绩效评价总分设置为100.00分，划分为四档：90.00（含）-100.00分为优、80.00（含）-90.00分为良、70.00（含）-80.00分为中、70.00分以下为差。最终评分结果为9</w:t>
      </w:r>
      <w:r>
        <w:t>8</w:t>
      </w:r>
      <w:r>
        <w:rPr>
          <w:lang w:val="zh-TW" w:eastAsia="zh-TW"/>
        </w:rPr>
        <w:t>.</w:t>
      </w:r>
      <w:r>
        <w:t>59</w:t>
      </w:r>
      <w:r>
        <w:rPr>
          <w:lang w:val="zh-TW" w:eastAsia="zh-TW"/>
        </w:rPr>
        <w:t>分，绩效评级为</w:t>
      </w:r>
      <w:r>
        <w:rPr>
          <w:rFonts w:hint="eastAsia"/>
          <w:lang w:val="zh-TW" w:eastAsia="zh-CN"/>
        </w:rPr>
        <w:t>“</w:t>
      </w:r>
      <w:r>
        <w:rPr>
          <w:lang w:val="zh-TW" w:eastAsia="zh-TW"/>
        </w:rPr>
        <w:t>优</w:t>
      </w:r>
      <w:r>
        <w:rPr>
          <w:rFonts w:hint="eastAsia"/>
          <w:lang w:val="zh-TW" w:eastAsia="zh-CN"/>
        </w:rPr>
        <w:t>”</w:t>
      </w:r>
      <w:r>
        <w:t>。</w:t>
      </w:r>
    </w:p>
    <w:p>
      <w:pPr>
        <w:pStyle w:val="31"/>
        <w:spacing w:before="0" w:after="0"/>
        <w:jc w:val="center"/>
        <w:rPr>
          <w:rFonts w:ascii="黑体" w:hAnsi="黑体" w:eastAsia="黑体" w:cs="黑体"/>
          <w:bCs/>
          <w:color w:val="auto"/>
          <w:sz w:val="21"/>
          <w:szCs w:val="21"/>
        </w:rPr>
      </w:pPr>
      <w:r>
        <w:rPr>
          <w:rFonts w:hint="eastAsia" w:ascii="黑体" w:hAnsi="黑体" w:eastAsia="黑体" w:cs="黑体"/>
          <w:bCs/>
          <w:color w:val="auto"/>
          <w:sz w:val="21"/>
          <w:szCs w:val="21"/>
          <w:lang w:val="zh-TW" w:eastAsia="zh-TW"/>
        </w:rPr>
        <w:t>表</w:t>
      </w:r>
      <w:r>
        <w:rPr>
          <w:rFonts w:hint="eastAsia" w:ascii="黑体" w:hAnsi="黑体" w:eastAsia="黑体" w:cs="黑体"/>
          <w:bCs/>
          <w:color w:val="auto"/>
          <w:sz w:val="21"/>
          <w:szCs w:val="21"/>
        </w:rPr>
        <w:t>1</w:t>
      </w:r>
      <w:r>
        <w:rPr>
          <w:rFonts w:hint="eastAsia" w:ascii="黑体" w:hAnsi="黑体" w:eastAsia="黑体" w:cs="黑体"/>
          <w:bCs/>
          <w:color w:val="auto"/>
          <w:sz w:val="21"/>
          <w:szCs w:val="21"/>
          <w:lang w:val="zh-TW" w:eastAsia="zh-TW"/>
        </w:rPr>
        <w:t>-1</w:t>
      </w:r>
      <w:r>
        <w:rPr>
          <w:rFonts w:hint="eastAsia" w:ascii="黑体" w:hAnsi="黑体" w:eastAsia="黑体" w:cs="黑体"/>
          <w:bCs/>
          <w:color w:val="auto"/>
          <w:sz w:val="21"/>
          <w:szCs w:val="21"/>
          <w:lang w:val="zh-TW"/>
        </w:rPr>
        <w:t>：</w:t>
      </w:r>
      <w:r>
        <w:rPr>
          <w:rFonts w:hint="eastAsia" w:ascii="黑体" w:hAnsi="黑体" w:eastAsia="黑体" w:cs="黑体"/>
          <w:bCs/>
          <w:color w:val="auto"/>
          <w:sz w:val="21"/>
          <w:szCs w:val="21"/>
        </w:rPr>
        <w:t>2022年农业机械购置补贴项目</w:t>
      </w:r>
      <w:r>
        <w:rPr>
          <w:rFonts w:hint="eastAsia" w:ascii="黑体" w:hAnsi="黑体" w:eastAsia="黑体" w:cs="黑体"/>
          <w:bCs/>
          <w:color w:val="auto"/>
          <w:sz w:val="21"/>
          <w:szCs w:val="21"/>
          <w:lang w:val="zh-TW"/>
        </w:rPr>
        <w:t>得分表</w:t>
      </w:r>
    </w:p>
    <w:tbl>
      <w:tblPr>
        <w:tblStyle w:val="20"/>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3"/>
        <w:gridCol w:w="1614"/>
        <w:gridCol w:w="1614"/>
        <w:gridCol w:w="1614"/>
        <w:gridCol w:w="1614"/>
        <w:gridCol w:w="1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项目决策类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过程</w:t>
            </w:r>
            <w:r>
              <w:rPr>
                <w:rFonts w:hAnsi="Times New Roman" w:eastAsia="宋体" w:cs="Times New Roman"/>
                <w:b/>
                <w:bCs/>
                <w:color w:val="auto"/>
                <w:sz w:val="21"/>
                <w:szCs w:val="21"/>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产出</w:t>
            </w:r>
            <w:r>
              <w:rPr>
                <w:rFonts w:hAnsi="Times New Roman" w:eastAsia="宋体" w:cs="Times New Roman"/>
                <w:b/>
                <w:bCs/>
                <w:color w:val="auto"/>
                <w:sz w:val="21"/>
                <w:szCs w:val="21"/>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lang w:val="zh-TW" w:eastAsia="zh-TW"/>
              </w:rPr>
            </w:pP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效益</w:t>
            </w:r>
            <w:r>
              <w:rPr>
                <w:rFonts w:hAnsi="Times New Roman" w:eastAsia="宋体" w:cs="Times New Roman"/>
                <w:b/>
                <w:bCs/>
                <w:color w:val="auto"/>
                <w:sz w:val="21"/>
                <w:szCs w:val="21"/>
                <w:lang w:val="zh-TW" w:eastAsia="zh-TW"/>
              </w:rPr>
              <w:t>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权重</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10.00</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25.00</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35.00</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30.00</w:t>
            </w:r>
          </w:p>
        </w:tc>
        <w:tc>
          <w:tcPr>
            <w:tcW w:w="666"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得分</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9.60</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24.00</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34.99</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98.59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得分率</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96.00%</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96.00%</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99.97%</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100.00%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98.59%</w:t>
            </w:r>
          </w:p>
        </w:tc>
      </w:tr>
    </w:tbl>
    <w:p>
      <w:pPr>
        <w:ind w:firstLine="482"/>
        <w:rPr>
          <w:b/>
          <w:bCs/>
          <w:sz w:val="24"/>
          <w:szCs w:val="28"/>
        </w:rPr>
      </w:pPr>
    </w:p>
    <w:p>
      <w:pPr>
        <w:ind w:firstLine="482"/>
        <w:rPr>
          <w:sz w:val="24"/>
          <w:szCs w:val="28"/>
        </w:rPr>
      </w:pPr>
      <w:r>
        <w:rPr>
          <w:b/>
          <w:bCs/>
          <w:sz w:val="24"/>
          <w:szCs w:val="28"/>
        </w:rPr>
        <w:t>三、取得的业绩、存在的问题和改进的建议</w:t>
      </w:r>
    </w:p>
    <w:p>
      <w:pPr>
        <w:snapToGrid/>
        <w:ind w:firstLine="422"/>
        <w:rPr>
          <w:b/>
          <w:bCs/>
        </w:rPr>
      </w:pPr>
      <w:r>
        <w:rPr>
          <w:b/>
          <w:bCs/>
        </w:rPr>
        <w:t>（一）主要经验及做法</w:t>
      </w:r>
    </w:p>
    <w:p>
      <w:pPr>
        <w:snapToGrid/>
        <w:ind w:firstLine="420"/>
        <w:rPr>
          <w:lang w:val="zh-TW" w:eastAsia="zh-TW"/>
        </w:rPr>
      </w:pPr>
      <w:r>
        <w:t>巴楚县农业农村机械化发展中心高度重视2022年农业机械购置补贴项目，编制了《巴楚县农业机械报废更新补贴实施方案》，明确了补贴工作领导小组、补贴种类、报废条件和补贴标准等内容，并严格按照相关文件要求和补助资金分配标准，对申请补助的机械进行信息录入、资料审核、机具核验、系统公示等程序，并在乡村两级进行公示，公示期满无异议后及时申请补助资金，最大限度提高资金使用效益，为规范有序地实施项目提供了保障</w:t>
      </w:r>
      <w:r>
        <w:rPr>
          <w:lang w:val="zh-TW" w:eastAsia="zh-TW"/>
        </w:rPr>
        <w:t>。</w:t>
      </w:r>
    </w:p>
    <w:p>
      <w:pPr>
        <w:snapToGrid/>
        <w:ind w:firstLine="422"/>
        <w:rPr>
          <w:b/>
          <w:bCs/>
        </w:rPr>
      </w:pPr>
      <w:r>
        <w:rPr>
          <w:b/>
          <w:bCs/>
        </w:rPr>
        <w:t>（二）存在的问题</w:t>
      </w:r>
    </w:p>
    <w:p>
      <w:pPr>
        <w:snapToGrid/>
        <w:ind w:firstLine="422"/>
        <w:jc w:val="left"/>
        <w:rPr>
          <w:b/>
          <w:bCs/>
        </w:rPr>
      </w:pPr>
      <w:r>
        <w:rPr>
          <w:b/>
          <w:bCs/>
        </w:rPr>
        <w:t>1.绩效目标及绩效指标设置缺乏合理性</w:t>
      </w:r>
    </w:p>
    <w:p>
      <w:pPr>
        <w:snapToGrid/>
        <w:ind w:firstLine="420"/>
        <w:rPr>
          <w:lang w:val="zh-TW" w:eastAsia="zh-TW"/>
        </w:rPr>
      </w:pPr>
      <w:r>
        <w:t>经查看巴楚县农业农村机械化发展中心的《专项预算项目支出绩效目标申报表》及《中央转移支付区域（项目）绩效目标自评表》，其数量指标</w:t>
      </w:r>
      <w:r>
        <w:rPr>
          <w:rFonts w:hint="eastAsia"/>
          <w:lang w:eastAsia="zh-CN"/>
        </w:rPr>
        <w:t>“</w:t>
      </w:r>
      <w:r>
        <w:t>农机购置补贴机具总数</w:t>
      </w:r>
      <w:r>
        <w:rPr>
          <w:rFonts w:hint="eastAsia"/>
          <w:lang w:eastAsia="zh-CN"/>
        </w:rPr>
        <w:t>”“</w:t>
      </w:r>
      <w:r>
        <w:t>补贴农业机械动力机械数量</w:t>
      </w:r>
      <w:r>
        <w:rPr>
          <w:rFonts w:hint="eastAsia"/>
          <w:lang w:eastAsia="zh-CN"/>
        </w:rPr>
        <w:t>”“</w:t>
      </w:r>
      <w:r>
        <w:t>补贴配套机具数量</w:t>
      </w:r>
      <w:r>
        <w:rPr>
          <w:rFonts w:hint="eastAsia"/>
          <w:lang w:eastAsia="zh-CN"/>
        </w:rPr>
        <w:t>”</w:t>
      </w:r>
      <w:r>
        <w:t>与实际完成值的偏差分别为9.34%、16.75%和33.53%，均存在一定偏差，绩效指标的设置缺乏可实现性</w:t>
      </w:r>
      <w:r>
        <w:rPr>
          <w:lang w:val="zh-TW" w:eastAsia="zh-TW"/>
        </w:rPr>
        <w:t>。</w:t>
      </w:r>
    </w:p>
    <w:p>
      <w:pPr>
        <w:snapToGrid/>
        <w:ind w:firstLine="422"/>
        <w:rPr>
          <w:b/>
          <w:bCs/>
        </w:rPr>
      </w:pPr>
      <w:r>
        <w:rPr>
          <w:b/>
          <w:bCs/>
        </w:rPr>
        <w:t>2.项目管理制度执行不到位，资料管理制度不够完善</w:t>
      </w:r>
    </w:p>
    <w:p>
      <w:pPr>
        <w:snapToGrid/>
        <w:ind w:firstLine="420"/>
        <w:rPr>
          <w:lang w:val="zh-TW" w:eastAsia="zh-TW"/>
        </w:rPr>
      </w:pPr>
      <w:r>
        <w:rPr>
          <w:lang w:val="zh-TW"/>
        </w:rPr>
        <w:t>在调研项目过程留痕资料时，存在项目实施归档资料留存不完整的情况，资料保管较为散乱等现象，项目资料管理责任人不明确，缺失后期的资料归档管理制度；项目单位提供资料没有反映出是否积极组织农户机具投档，组织农机补贴政策宣传、补贴机具选定过程是否公平合理，项目实施过程控制</w:t>
      </w:r>
      <w:r>
        <w:t>不到位</w:t>
      </w:r>
      <w:r>
        <w:rPr>
          <w:lang w:val="zh-TW"/>
        </w:rPr>
        <w:t>。</w:t>
      </w:r>
    </w:p>
    <w:p>
      <w:pPr>
        <w:snapToGrid/>
        <w:ind w:firstLine="422"/>
        <w:rPr>
          <w:b/>
          <w:bCs/>
        </w:rPr>
      </w:pPr>
      <w:r>
        <w:rPr>
          <w:b/>
          <w:bCs/>
        </w:rPr>
        <w:t>（三）有关建议</w:t>
      </w:r>
    </w:p>
    <w:p>
      <w:pPr>
        <w:widowControl/>
        <w:snapToGrid/>
        <w:ind w:firstLine="422"/>
        <w:rPr>
          <w:b/>
          <w:bCs/>
        </w:rPr>
      </w:pPr>
      <w:r>
        <w:rPr>
          <w:b/>
          <w:bCs/>
        </w:rPr>
        <w:t>1.加强项目绩效目标申报工作管理，确保绩效目标编报的准确性</w:t>
      </w:r>
    </w:p>
    <w:p>
      <w:pPr>
        <w:snapToGrid/>
        <w:ind w:firstLine="420"/>
        <w:rPr>
          <w:lang w:val="zh-TW" w:eastAsia="zh-TW"/>
        </w:rPr>
      </w:pPr>
      <w:r>
        <w:t>建议项目单位在进行项目绩效目标申报时，严格按照《关于印发&lt;中央部门项目支出核心绩效目标和指标设置及取值指引（试行）&gt;的通知》（财预〔2021〕101号）和《自治区项目支出绩效目标设置指引》文件要求，归纳总体绩效目标，明确完成的工作任务，科学合理地设置绩效指标，确保绩效目标编制依据充分，标准明确，目标合理可行</w:t>
      </w:r>
      <w:r>
        <w:rPr>
          <w:lang w:val="zh-TW" w:eastAsia="zh-TW"/>
        </w:rPr>
        <w:t>。</w:t>
      </w:r>
    </w:p>
    <w:p>
      <w:pPr>
        <w:widowControl/>
        <w:snapToGrid/>
        <w:ind w:firstLine="422"/>
        <w:rPr>
          <w:b/>
          <w:bCs/>
        </w:rPr>
      </w:pPr>
      <w:r>
        <w:rPr>
          <w:rFonts w:hint="eastAsia"/>
          <w:b/>
          <w:bCs/>
        </w:rPr>
        <w:t>2</w:t>
      </w:r>
      <w:r>
        <w:rPr>
          <w:b/>
          <w:bCs/>
        </w:rPr>
        <w:t>.完善制度层面建设，加强项目过程和结果管控</w:t>
      </w:r>
    </w:p>
    <w:p>
      <w:pPr>
        <w:snapToGrid/>
        <w:ind w:firstLine="420"/>
        <w:rPr>
          <w:lang w:val="zh-TW" w:eastAsia="zh-TW"/>
        </w:rPr>
        <w:sectPr>
          <w:headerReference r:id="rId5" w:type="default"/>
          <w:footerReference r:id="rId6" w:type="default"/>
          <w:pgSz w:w="11906" w:h="16838"/>
          <w:pgMar w:top="1440" w:right="1797" w:bottom="1440" w:left="1797" w:header="851" w:footer="992" w:gutter="0"/>
          <w:pgNumType w:fmt="upperRoman" w:start="1"/>
          <w:cols w:space="720" w:num="1"/>
          <w:docGrid w:type="lines" w:linePitch="312" w:charSpace="0"/>
        </w:sectPr>
      </w:pPr>
      <w:r>
        <w:rPr>
          <w:lang w:val="zh-TW"/>
        </w:rPr>
        <w:t>建议项目预算实施单位按照《行政事业单位内部控制规范》相关条款加强项目各环节管控，重点规范资金的管理和使用流程，强化资金管理、报账、对账管理；加强项目关键过程痕迹资料的留存管理，项目重要资料档案最终进行统一归档管理；加强</w:t>
      </w:r>
      <w:r>
        <w:rPr>
          <w:lang w:val="zh-TW" w:eastAsia="zh-TW"/>
        </w:rPr>
        <w:t>预算绩效管理制度</w:t>
      </w:r>
      <w:r>
        <w:rPr>
          <w:lang w:val="zh-TW"/>
        </w:rPr>
        <w:t>学习使用，绩效管理结果应当清晰反映支出和产出绩效之间的紧密对应关系。</w:t>
      </w:r>
    </w:p>
    <w:sdt>
      <w:sdtPr>
        <w:rPr>
          <w:rFonts w:eastAsia="宋体"/>
          <w:szCs w:val="22"/>
        </w:rPr>
        <w:id w:val="147469479"/>
        <w:docPartObj>
          <w:docPartGallery w:val="Table of Contents"/>
          <w:docPartUnique/>
        </w:docPartObj>
      </w:sdtPr>
      <w:sdtEndPr>
        <w:rPr>
          <w:rFonts w:eastAsia="宋体"/>
          <w:b/>
          <w:szCs w:val="21"/>
        </w:rPr>
      </w:sdtEndPr>
      <w:sdtContent>
        <w:p>
          <w:pPr>
            <w:ind w:firstLine="0" w:firstLineChars="0"/>
            <w:jc w:val="center"/>
            <w:rPr>
              <w:rFonts w:eastAsia="宋体"/>
              <w:sz w:val="24"/>
              <w:szCs w:val="24"/>
            </w:rPr>
          </w:pPr>
          <w:r>
            <w:rPr>
              <w:rFonts w:eastAsia="宋体"/>
              <w:b/>
              <w:bCs/>
              <w:sz w:val="32"/>
              <w:szCs w:val="36"/>
            </w:rPr>
            <w:t>目录</w:t>
          </w:r>
          <w:r>
            <w:rPr>
              <w:rFonts w:eastAsia="宋体"/>
            </w:rPr>
            <w:fldChar w:fldCharType="begin"/>
          </w:r>
          <w:r>
            <w:rPr>
              <w:rFonts w:eastAsia="宋体"/>
            </w:rPr>
            <w:instrText xml:space="preserve">TOC \o "1-2" \h \u </w:instrText>
          </w:r>
          <w:r>
            <w:rPr>
              <w:rFonts w:eastAsia="宋体"/>
            </w:rPr>
            <w:fldChar w:fldCharType="separate"/>
          </w:r>
        </w:p>
        <w:p>
          <w:pPr>
            <w:pStyle w:val="13"/>
            <w:tabs>
              <w:tab w:val="right" w:leader="dot" w:pos="8306"/>
              <w:tab w:val="clear" w:pos="9356"/>
            </w:tabs>
            <w:adjustRightInd/>
            <w:snapToGrid/>
            <w:rPr>
              <w:rFonts w:ascii="Times New Roman" w:hAnsi="Times New Roman" w:eastAsia="宋体" w:cs="Times New Roman"/>
              <w:color w:val="auto"/>
              <w:sz w:val="24"/>
              <w:szCs w:val="24"/>
            </w:rPr>
          </w:pPr>
          <w:r>
            <w:fldChar w:fldCharType="begin"/>
          </w:r>
          <w:r>
            <w:instrText xml:space="preserve"> HYPERLINK \l "_Toc31763" </w:instrText>
          </w:r>
          <w:r>
            <w:fldChar w:fldCharType="separate"/>
          </w:r>
          <w:r>
            <w:rPr>
              <w:rFonts w:ascii="Times New Roman" w:hAnsi="Times New Roman" w:eastAsia="宋体" w:cs="Times New Roman"/>
              <w:color w:val="auto"/>
              <w:sz w:val="24"/>
              <w:szCs w:val="24"/>
            </w:rPr>
            <w:t>一、基本情况</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_Toc31763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"_Toc11951" </w:instrText>
          </w:r>
          <w:r>
            <w:fldChar w:fldCharType="separate"/>
          </w:r>
          <w:r>
            <w:rPr>
              <w:rFonts w:eastAsia="宋体"/>
              <w:szCs w:val="24"/>
            </w:rPr>
            <w:t>（一）项目概况</w:t>
          </w:r>
          <w:r>
            <w:rPr>
              <w:rFonts w:eastAsia="宋体"/>
              <w:szCs w:val="24"/>
            </w:rPr>
            <w:tab/>
          </w:r>
          <w:r>
            <w:rPr>
              <w:rFonts w:eastAsia="宋体"/>
              <w:szCs w:val="24"/>
            </w:rPr>
            <w:fldChar w:fldCharType="begin"/>
          </w:r>
          <w:r>
            <w:rPr>
              <w:rFonts w:eastAsia="宋体"/>
              <w:szCs w:val="24"/>
            </w:rPr>
            <w:instrText xml:space="preserve"> PAGEREF _Toc11951 \h </w:instrText>
          </w:r>
          <w:r>
            <w:rPr>
              <w:rFonts w:eastAsia="宋体"/>
              <w:szCs w:val="24"/>
            </w:rPr>
            <w:fldChar w:fldCharType="separate"/>
          </w:r>
          <w:r>
            <w:rPr>
              <w:rFonts w:eastAsia="宋体"/>
              <w:szCs w:val="24"/>
            </w:rPr>
            <w:t>1</w:t>
          </w:r>
          <w:r>
            <w:rPr>
              <w:rFonts w:eastAsia="宋体"/>
              <w:szCs w:val="24"/>
            </w:rPr>
            <w:fldChar w:fldCharType="end"/>
          </w:r>
          <w:r>
            <w:rPr>
              <w:rFonts w:eastAsia="宋体"/>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"_Toc18887" </w:instrText>
          </w:r>
          <w:r>
            <w:fldChar w:fldCharType="separate"/>
          </w:r>
          <w:r>
            <w:rPr>
              <w:rFonts w:eastAsia="宋体"/>
              <w:szCs w:val="24"/>
            </w:rPr>
            <w:t>（二）项目绩效目标</w:t>
          </w:r>
          <w:r>
            <w:rPr>
              <w:rFonts w:eastAsia="宋体"/>
              <w:szCs w:val="24"/>
            </w:rPr>
            <w:tab/>
          </w:r>
          <w:r>
            <w:rPr>
              <w:rFonts w:eastAsia="宋体"/>
              <w:szCs w:val="24"/>
            </w:rPr>
            <w:fldChar w:fldCharType="begin"/>
          </w:r>
          <w:r>
            <w:rPr>
              <w:rFonts w:eastAsia="宋体"/>
              <w:szCs w:val="24"/>
            </w:rPr>
            <w:instrText xml:space="preserve"> PAGEREF _Toc18887 \h </w:instrText>
          </w:r>
          <w:r>
            <w:rPr>
              <w:rFonts w:eastAsia="宋体"/>
              <w:szCs w:val="24"/>
            </w:rPr>
            <w:fldChar w:fldCharType="separate"/>
          </w:r>
          <w:r>
            <w:rPr>
              <w:rFonts w:eastAsia="宋体"/>
              <w:szCs w:val="24"/>
            </w:rPr>
            <w:t>3</w:t>
          </w:r>
          <w:r>
            <w:rPr>
              <w:rFonts w:eastAsia="宋体"/>
              <w:szCs w:val="24"/>
            </w:rPr>
            <w:fldChar w:fldCharType="end"/>
          </w:r>
          <w:r>
            <w:rPr>
              <w:rFonts w:eastAsia="宋体"/>
              <w:szCs w:val="24"/>
            </w:rPr>
            <w:fldChar w:fldCharType="end"/>
          </w:r>
        </w:p>
        <w:p>
          <w:pPr>
            <w:pStyle w:val="13"/>
            <w:tabs>
              <w:tab w:val="right" w:leader="dot" w:pos="8306"/>
              <w:tab w:val="clear" w:pos="9356"/>
            </w:tabs>
            <w:adjustRightInd/>
            <w:snapToGrid/>
            <w:rPr>
              <w:rFonts w:ascii="Times New Roman" w:hAnsi="Times New Roman" w:eastAsia="宋体" w:cs="Times New Roman"/>
              <w:color w:val="auto"/>
              <w:sz w:val="24"/>
              <w:szCs w:val="24"/>
            </w:rPr>
          </w:pPr>
          <w:r>
            <w:fldChar w:fldCharType="begin"/>
          </w:r>
          <w:r>
            <w:instrText xml:space="preserve"> HYPERLINK \l "_Toc19431" </w:instrText>
          </w:r>
          <w:r>
            <w:fldChar w:fldCharType="separate"/>
          </w:r>
          <w:r>
            <w:rPr>
              <w:rFonts w:ascii="Times New Roman" w:hAnsi="Times New Roman" w:eastAsia="宋体" w:cs="Times New Roman"/>
              <w:color w:val="auto"/>
              <w:sz w:val="24"/>
              <w:szCs w:val="24"/>
            </w:rPr>
            <w:t>二、绩效评价工作开展情况</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_Toc19431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5</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"_Toc18111" </w:instrText>
          </w:r>
          <w:r>
            <w:fldChar w:fldCharType="separate"/>
          </w:r>
          <w:r>
            <w:rPr>
              <w:rFonts w:eastAsia="宋体"/>
              <w:szCs w:val="24"/>
            </w:rPr>
            <w:t>（一）绩效评价目的、对象和范围</w:t>
          </w:r>
          <w:r>
            <w:rPr>
              <w:rFonts w:eastAsia="宋体"/>
              <w:szCs w:val="24"/>
            </w:rPr>
            <w:tab/>
          </w:r>
          <w:r>
            <w:rPr>
              <w:rFonts w:eastAsia="宋体"/>
              <w:szCs w:val="24"/>
            </w:rPr>
            <w:fldChar w:fldCharType="begin"/>
          </w:r>
          <w:r>
            <w:rPr>
              <w:rFonts w:eastAsia="宋体"/>
              <w:szCs w:val="24"/>
            </w:rPr>
            <w:instrText xml:space="preserve"> PAGEREF _Toc18111 \h </w:instrText>
          </w:r>
          <w:r>
            <w:rPr>
              <w:rFonts w:eastAsia="宋体"/>
              <w:szCs w:val="24"/>
            </w:rPr>
            <w:fldChar w:fldCharType="separate"/>
          </w:r>
          <w:r>
            <w:rPr>
              <w:rFonts w:eastAsia="宋体"/>
              <w:szCs w:val="24"/>
            </w:rPr>
            <w:t>5</w:t>
          </w:r>
          <w:r>
            <w:rPr>
              <w:rFonts w:eastAsia="宋体"/>
              <w:szCs w:val="24"/>
            </w:rPr>
            <w:fldChar w:fldCharType="end"/>
          </w:r>
          <w:r>
            <w:rPr>
              <w:rFonts w:eastAsia="宋体"/>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"_Toc8255" </w:instrText>
          </w:r>
          <w:r>
            <w:fldChar w:fldCharType="separate"/>
          </w:r>
          <w:r>
            <w:rPr>
              <w:rFonts w:eastAsia="宋体"/>
              <w:szCs w:val="24"/>
            </w:rPr>
            <w:t>（二）绩效评价原则、评价指标体系、评价方法评价标准</w:t>
          </w:r>
          <w:r>
            <w:rPr>
              <w:rFonts w:eastAsia="宋体"/>
              <w:szCs w:val="24"/>
            </w:rPr>
            <w:tab/>
          </w:r>
          <w:r>
            <w:rPr>
              <w:rFonts w:eastAsia="宋体"/>
              <w:szCs w:val="24"/>
            </w:rPr>
            <w:fldChar w:fldCharType="begin"/>
          </w:r>
          <w:r>
            <w:rPr>
              <w:rFonts w:eastAsia="宋体"/>
              <w:szCs w:val="24"/>
            </w:rPr>
            <w:instrText xml:space="preserve"> PAGEREF _Toc8255 \h </w:instrText>
          </w:r>
          <w:r>
            <w:rPr>
              <w:rFonts w:eastAsia="宋体"/>
              <w:szCs w:val="24"/>
            </w:rPr>
            <w:fldChar w:fldCharType="separate"/>
          </w:r>
          <w:r>
            <w:rPr>
              <w:rFonts w:eastAsia="宋体"/>
              <w:szCs w:val="24"/>
            </w:rPr>
            <w:t>6</w:t>
          </w:r>
          <w:r>
            <w:rPr>
              <w:rFonts w:eastAsia="宋体"/>
              <w:szCs w:val="24"/>
            </w:rPr>
            <w:fldChar w:fldCharType="end"/>
          </w:r>
          <w:r>
            <w:rPr>
              <w:rFonts w:eastAsia="宋体"/>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"_Toc3222" </w:instrText>
          </w:r>
          <w:r>
            <w:fldChar w:fldCharType="separate"/>
          </w:r>
          <w:r>
            <w:rPr>
              <w:rFonts w:eastAsia="宋体"/>
              <w:szCs w:val="24"/>
            </w:rPr>
            <w:t>（三）绩效评价工作过程</w:t>
          </w:r>
          <w:r>
            <w:rPr>
              <w:rFonts w:eastAsia="宋体"/>
              <w:szCs w:val="24"/>
            </w:rPr>
            <w:tab/>
          </w:r>
          <w:r>
            <w:rPr>
              <w:rFonts w:eastAsia="宋体"/>
              <w:szCs w:val="24"/>
            </w:rPr>
            <w:fldChar w:fldCharType="begin"/>
          </w:r>
          <w:r>
            <w:rPr>
              <w:rFonts w:eastAsia="宋体"/>
              <w:szCs w:val="24"/>
            </w:rPr>
            <w:instrText xml:space="preserve"> PAGEREF _Toc3222 \h </w:instrText>
          </w:r>
          <w:r>
            <w:rPr>
              <w:rFonts w:eastAsia="宋体"/>
              <w:szCs w:val="24"/>
            </w:rPr>
            <w:fldChar w:fldCharType="separate"/>
          </w:r>
          <w:r>
            <w:rPr>
              <w:rFonts w:eastAsia="宋体"/>
              <w:szCs w:val="24"/>
            </w:rPr>
            <w:t>8</w:t>
          </w:r>
          <w:r>
            <w:rPr>
              <w:rFonts w:eastAsia="宋体"/>
              <w:szCs w:val="24"/>
            </w:rPr>
            <w:fldChar w:fldCharType="end"/>
          </w:r>
          <w:r>
            <w:rPr>
              <w:rFonts w:eastAsia="宋体"/>
              <w:szCs w:val="24"/>
            </w:rPr>
            <w:fldChar w:fldCharType="end"/>
          </w:r>
        </w:p>
        <w:p>
          <w:pPr>
            <w:pStyle w:val="13"/>
            <w:tabs>
              <w:tab w:val="right" w:leader="dot" w:pos="8306"/>
              <w:tab w:val="clear" w:pos="9356"/>
            </w:tabs>
            <w:adjustRightInd/>
            <w:snapToGrid/>
            <w:rPr>
              <w:rFonts w:ascii="Times New Roman" w:hAnsi="Times New Roman" w:eastAsia="宋体" w:cs="Times New Roman"/>
              <w:color w:val="auto"/>
              <w:sz w:val="24"/>
              <w:szCs w:val="24"/>
            </w:rPr>
          </w:pPr>
          <w:r>
            <w:fldChar w:fldCharType="begin"/>
          </w:r>
          <w:r>
            <w:instrText xml:space="preserve"> HYPERLINK \l "_Toc6209" </w:instrText>
          </w:r>
          <w:r>
            <w:fldChar w:fldCharType="separate"/>
          </w:r>
          <w:r>
            <w:rPr>
              <w:rFonts w:ascii="Times New Roman" w:hAnsi="Times New Roman" w:eastAsia="宋体" w:cs="Times New Roman"/>
              <w:color w:val="auto"/>
              <w:sz w:val="24"/>
              <w:szCs w:val="24"/>
            </w:rPr>
            <w:t>三、综合评价情况及评价结论</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_Toc6209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3"/>
            <w:tabs>
              <w:tab w:val="right" w:leader="dot" w:pos="8306"/>
              <w:tab w:val="clear" w:pos="9356"/>
            </w:tabs>
            <w:adjustRightInd/>
            <w:snapToGrid/>
            <w:rPr>
              <w:rFonts w:ascii="Times New Roman" w:hAnsi="Times New Roman" w:eastAsia="宋体" w:cs="Times New Roman"/>
              <w:color w:val="auto"/>
              <w:sz w:val="24"/>
              <w:szCs w:val="24"/>
            </w:rPr>
          </w:pPr>
          <w:r>
            <w:fldChar w:fldCharType="begin"/>
          </w:r>
          <w:r>
            <w:instrText xml:space="preserve"> HYPERLINK \l "_Toc4510" </w:instrText>
          </w:r>
          <w:r>
            <w:fldChar w:fldCharType="separate"/>
          </w:r>
          <w:r>
            <w:rPr>
              <w:rFonts w:ascii="Times New Roman" w:hAnsi="Times New Roman" w:eastAsia="宋体" w:cs="Times New Roman"/>
              <w:color w:val="auto"/>
              <w:sz w:val="24"/>
              <w:szCs w:val="24"/>
            </w:rPr>
            <w:t>四、绩效评价指标分析</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_Toc4510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"_Toc25886" </w:instrText>
          </w:r>
          <w:r>
            <w:fldChar w:fldCharType="separate"/>
          </w:r>
          <w:r>
            <w:rPr>
              <w:rFonts w:eastAsia="宋体"/>
              <w:szCs w:val="24"/>
            </w:rPr>
            <w:t>（一）项目决策情况</w:t>
          </w:r>
          <w:r>
            <w:rPr>
              <w:rFonts w:eastAsia="宋体"/>
              <w:szCs w:val="24"/>
            </w:rPr>
            <w:tab/>
          </w:r>
          <w:r>
            <w:rPr>
              <w:rFonts w:eastAsia="宋体"/>
              <w:szCs w:val="24"/>
            </w:rPr>
            <w:fldChar w:fldCharType="begin"/>
          </w:r>
          <w:r>
            <w:rPr>
              <w:rFonts w:eastAsia="宋体"/>
              <w:szCs w:val="24"/>
            </w:rPr>
            <w:instrText xml:space="preserve"> PAGEREF _Toc25886 \h </w:instrText>
          </w:r>
          <w:r>
            <w:rPr>
              <w:rFonts w:eastAsia="宋体"/>
              <w:szCs w:val="24"/>
            </w:rPr>
            <w:fldChar w:fldCharType="separate"/>
          </w:r>
          <w:r>
            <w:rPr>
              <w:rFonts w:eastAsia="宋体"/>
              <w:szCs w:val="24"/>
            </w:rPr>
            <w:t>11</w:t>
          </w:r>
          <w:r>
            <w:rPr>
              <w:rFonts w:eastAsia="宋体"/>
              <w:szCs w:val="24"/>
            </w:rPr>
            <w:fldChar w:fldCharType="end"/>
          </w:r>
          <w:r>
            <w:rPr>
              <w:rFonts w:eastAsia="宋体"/>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"_Toc11718" </w:instrText>
          </w:r>
          <w:r>
            <w:fldChar w:fldCharType="separate"/>
          </w:r>
          <w:r>
            <w:rPr>
              <w:rFonts w:eastAsia="宋体"/>
              <w:szCs w:val="24"/>
            </w:rPr>
            <w:t>（二）项目过程情况</w:t>
          </w:r>
          <w:r>
            <w:rPr>
              <w:rFonts w:eastAsia="宋体"/>
              <w:szCs w:val="24"/>
            </w:rPr>
            <w:tab/>
          </w:r>
          <w:r>
            <w:rPr>
              <w:rFonts w:eastAsia="宋体"/>
              <w:szCs w:val="24"/>
            </w:rPr>
            <w:fldChar w:fldCharType="begin"/>
          </w:r>
          <w:r>
            <w:rPr>
              <w:rFonts w:eastAsia="宋体"/>
              <w:szCs w:val="24"/>
            </w:rPr>
            <w:instrText xml:space="preserve"> PAGEREF _Toc11718 \h </w:instrText>
          </w:r>
          <w:r>
            <w:rPr>
              <w:rFonts w:eastAsia="宋体"/>
              <w:szCs w:val="24"/>
            </w:rPr>
            <w:fldChar w:fldCharType="separate"/>
          </w:r>
          <w:r>
            <w:rPr>
              <w:rFonts w:eastAsia="宋体"/>
              <w:szCs w:val="24"/>
            </w:rPr>
            <w:t>13</w:t>
          </w:r>
          <w:r>
            <w:rPr>
              <w:rFonts w:eastAsia="宋体"/>
              <w:szCs w:val="24"/>
            </w:rPr>
            <w:fldChar w:fldCharType="end"/>
          </w:r>
          <w:r>
            <w:rPr>
              <w:rFonts w:eastAsia="宋体"/>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"_Toc17539" </w:instrText>
          </w:r>
          <w:r>
            <w:fldChar w:fldCharType="separate"/>
          </w:r>
          <w:r>
            <w:rPr>
              <w:rFonts w:eastAsia="宋体"/>
              <w:szCs w:val="24"/>
            </w:rPr>
            <w:t>（三）项目产出情况</w:t>
          </w:r>
          <w:r>
            <w:rPr>
              <w:rFonts w:eastAsia="宋体"/>
              <w:szCs w:val="24"/>
            </w:rPr>
            <w:tab/>
          </w:r>
          <w:r>
            <w:rPr>
              <w:rFonts w:eastAsia="宋体"/>
              <w:szCs w:val="24"/>
            </w:rPr>
            <w:fldChar w:fldCharType="begin"/>
          </w:r>
          <w:r>
            <w:rPr>
              <w:rFonts w:eastAsia="宋体"/>
              <w:szCs w:val="24"/>
            </w:rPr>
            <w:instrText xml:space="preserve"> PAGEREF _Toc17539 \h </w:instrText>
          </w:r>
          <w:r>
            <w:rPr>
              <w:rFonts w:eastAsia="宋体"/>
              <w:szCs w:val="24"/>
            </w:rPr>
            <w:fldChar w:fldCharType="separate"/>
          </w:r>
          <w:r>
            <w:rPr>
              <w:rFonts w:eastAsia="宋体"/>
              <w:szCs w:val="24"/>
            </w:rPr>
            <w:t>15</w:t>
          </w:r>
          <w:r>
            <w:rPr>
              <w:rFonts w:eastAsia="宋体"/>
              <w:szCs w:val="24"/>
            </w:rPr>
            <w:fldChar w:fldCharType="end"/>
          </w:r>
          <w:r>
            <w:rPr>
              <w:rFonts w:eastAsia="宋体"/>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"_Toc16283" </w:instrText>
          </w:r>
          <w:r>
            <w:fldChar w:fldCharType="separate"/>
          </w:r>
          <w:r>
            <w:rPr>
              <w:rFonts w:eastAsia="宋体"/>
              <w:szCs w:val="24"/>
            </w:rPr>
            <w:t>（四）项目效益情况</w:t>
          </w:r>
          <w:r>
            <w:rPr>
              <w:rFonts w:eastAsia="宋体"/>
              <w:szCs w:val="24"/>
            </w:rPr>
            <w:tab/>
          </w:r>
          <w:r>
            <w:rPr>
              <w:rFonts w:eastAsia="宋体"/>
              <w:szCs w:val="24"/>
            </w:rPr>
            <w:fldChar w:fldCharType="begin"/>
          </w:r>
          <w:r>
            <w:rPr>
              <w:rFonts w:eastAsia="宋体"/>
              <w:szCs w:val="24"/>
            </w:rPr>
            <w:instrText xml:space="preserve"> PAGEREF _Toc16283 \h </w:instrText>
          </w:r>
          <w:r>
            <w:rPr>
              <w:rFonts w:eastAsia="宋体"/>
              <w:szCs w:val="24"/>
            </w:rPr>
            <w:fldChar w:fldCharType="separate"/>
          </w:r>
          <w:r>
            <w:rPr>
              <w:rFonts w:eastAsia="宋体"/>
              <w:szCs w:val="24"/>
            </w:rPr>
            <w:t>17</w:t>
          </w:r>
          <w:r>
            <w:rPr>
              <w:rFonts w:eastAsia="宋体"/>
              <w:szCs w:val="24"/>
            </w:rPr>
            <w:fldChar w:fldCharType="end"/>
          </w:r>
          <w:r>
            <w:rPr>
              <w:rFonts w:eastAsia="宋体"/>
              <w:szCs w:val="24"/>
            </w:rPr>
            <w:fldChar w:fldCharType="end"/>
          </w:r>
        </w:p>
        <w:p>
          <w:pPr>
            <w:pStyle w:val="13"/>
            <w:tabs>
              <w:tab w:val="right" w:leader="dot" w:pos="8306"/>
              <w:tab w:val="clear" w:pos="9356"/>
            </w:tabs>
            <w:adjustRightInd/>
            <w:snapToGrid/>
            <w:rPr>
              <w:rFonts w:ascii="Times New Roman" w:hAnsi="Times New Roman" w:eastAsia="宋体" w:cs="Times New Roman"/>
              <w:color w:val="auto"/>
              <w:sz w:val="24"/>
              <w:szCs w:val="24"/>
            </w:rPr>
          </w:pPr>
          <w:r>
            <w:fldChar w:fldCharType="begin"/>
          </w:r>
          <w:r>
            <w:instrText xml:space="preserve"> HYPERLINK \l "_Toc7192" </w:instrText>
          </w:r>
          <w:r>
            <w:fldChar w:fldCharType="separate"/>
          </w:r>
          <w:r>
            <w:rPr>
              <w:rFonts w:ascii="Times New Roman" w:hAnsi="Times New Roman" w:eastAsia="宋体" w:cs="Times New Roman"/>
              <w:color w:val="auto"/>
              <w:sz w:val="24"/>
              <w:szCs w:val="24"/>
            </w:rPr>
            <w:t>五、主要经验及做法、存在的问题及原因分析</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_Toc7192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"_Toc14922" </w:instrText>
          </w:r>
          <w:r>
            <w:fldChar w:fldCharType="separate"/>
          </w:r>
          <w:r>
            <w:rPr>
              <w:rFonts w:eastAsia="宋体"/>
              <w:szCs w:val="24"/>
            </w:rPr>
            <w:t>（一）主要经验及做法</w:t>
          </w:r>
          <w:r>
            <w:rPr>
              <w:rFonts w:eastAsia="宋体"/>
              <w:szCs w:val="24"/>
            </w:rPr>
            <w:tab/>
          </w:r>
          <w:r>
            <w:rPr>
              <w:rFonts w:eastAsia="宋体"/>
              <w:szCs w:val="24"/>
            </w:rPr>
            <w:fldChar w:fldCharType="begin"/>
          </w:r>
          <w:r>
            <w:rPr>
              <w:rFonts w:eastAsia="宋体"/>
              <w:szCs w:val="24"/>
            </w:rPr>
            <w:instrText xml:space="preserve"> PAGEREF _Toc14922 \h </w:instrText>
          </w:r>
          <w:r>
            <w:rPr>
              <w:rFonts w:eastAsia="宋体"/>
              <w:szCs w:val="24"/>
            </w:rPr>
            <w:fldChar w:fldCharType="separate"/>
          </w:r>
          <w:r>
            <w:rPr>
              <w:rFonts w:eastAsia="宋体"/>
              <w:szCs w:val="24"/>
            </w:rPr>
            <w:t>18</w:t>
          </w:r>
          <w:r>
            <w:rPr>
              <w:rFonts w:eastAsia="宋体"/>
              <w:szCs w:val="24"/>
            </w:rPr>
            <w:fldChar w:fldCharType="end"/>
          </w:r>
          <w:r>
            <w:rPr>
              <w:rFonts w:eastAsia="宋体"/>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"_Toc11754" </w:instrText>
          </w:r>
          <w:r>
            <w:fldChar w:fldCharType="separate"/>
          </w:r>
          <w:r>
            <w:rPr>
              <w:rFonts w:eastAsia="宋体"/>
              <w:szCs w:val="24"/>
            </w:rPr>
            <w:t>（二）存在的问题</w:t>
          </w:r>
          <w:r>
            <w:rPr>
              <w:rFonts w:eastAsia="宋体"/>
              <w:szCs w:val="24"/>
            </w:rPr>
            <w:tab/>
          </w:r>
          <w:r>
            <w:rPr>
              <w:rFonts w:eastAsia="宋体"/>
              <w:szCs w:val="24"/>
            </w:rPr>
            <w:fldChar w:fldCharType="begin"/>
          </w:r>
          <w:r>
            <w:rPr>
              <w:rFonts w:eastAsia="宋体"/>
              <w:szCs w:val="24"/>
            </w:rPr>
            <w:instrText xml:space="preserve"> PAGEREF _Toc11754 \h </w:instrText>
          </w:r>
          <w:r>
            <w:rPr>
              <w:rFonts w:eastAsia="宋体"/>
              <w:szCs w:val="24"/>
            </w:rPr>
            <w:fldChar w:fldCharType="separate"/>
          </w:r>
          <w:r>
            <w:rPr>
              <w:rFonts w:eastAsia="宋体"/>
              <w:szCs w:val="24"/>
            </w:rPr>
            <w:t>19</w:t>
          </w:r>
          <w:r>
            <w:rPr>
              <w:rFonts w:eastAsia="宋体"/>
              <w:szCs w:val="24"/>
            </w:rPr>
            <w:fldChar w:fldCharType="end"/>
          </w:r>
          <w:r>
            <w:rPr>
              <w:rFonts w:eastAsia="宋体"/>
              <w:szCs w:val="24"/>
            </w:rPr>
            <w:fldChar w:fldCharType="end"/>
          </w:r>
        </w:p>
        <w:p>
          <w:pPr>
            <w:pStyle w:val="13"/>
            <w:tabs>
              <w:tab w:val="right" w:leader="dot" w:pos="8306"/>
              <w:tab w:val="clear" w:pos="9356"/>
            </w:tabs>
            <w:adjustRightInd/>
            <w:snapToGrid/>
            <w:rPr>
              <w:rFonts w:ascii="Times New Roman" w:hAnsi="Times New Roman" w:eastAsia="宋体" w:cs="Times New Roman"/>
              <w:color w:val="auto"/>
              <w:sz w:val="24"/>
              <w:szCs w:val="24"/>
            </w:rPr>
          </w:pPr>
          <w:r>
            <w:fldChar w:fldCharType="begin"/>
          </w:r>
          <w:r>
            <w:instrText xml:space="preserve"> HYPERLINK \l "_Toc27862" </w:instrText>
          </w:r>
          <w:r>
            <w:fldChar w:fldCharType="separate"/>
          </w:r>
          <w:r>
            <w:rPr>
              <w:rFonts w:ascii="Times New Roman" w:hAnsi="Times New Roman" w:eastAsia="宋体" w:cs="Times New Roman"/>
              <w:color w:val="auto"/>
              <w:sz w:val="24"/>
              <w:szCs w:val="24"/>
            </w:rPr>
            <w:t>六、有关建议</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_Toc27862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3"/>
            <w:tabs>
              <w:tab w:val="right" w:leader="dot" w:pos="8306"/>
              <w:tab w:val="clear" w:pos="9356"/>
            </w:tabs>
            <w:adjustRightInd/>
            <w:snapToGrid/>
            <w:rPr>
              <w:rFonts w:ascii="Times New Roman" w:hAnsi="Times New Roman" w:eastAsia="宋体" w:cs="Times New Roman"/>
              <w:color w:val="auto"/>
              <w:sz w:val="24"/>
              <w:szCs w:val="24"/>
            </w:rPr>
          </w:pPr>
          <w:r>
            <w:fldChar w:fldCharType="begin"/>
          </w:r>
          <w:r>
            <w:instrText xml:space="preserve"> HYPERLINK \l "_Toc5467" </w:instrText>
          </w:r>
          <w:r>
            <w:fldChar w:fldCharType="separate"/>
          </w:r>
          <w:r>
            <w:rPr>
              <w:rFonts w:ascii="Times New Roman" w:hAnsi="Times New Roman" w:eastAsia="宋体" w:cs="Times New Roman"/>
              <w:color w:val="auto"/>
              <w:sz w:val="24"/>
              <w:szCs w:val="24"/>
            </w:rPr>
            <w:t>七、其他需要说明的问题</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_Toc5467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"_Toc5087" </w:instrText>
          </w:r>
          <w:r>
            <w:fldChar w:fldCharType="separate"/>
          </w:r>
          <w:r>
            <w:rPr>
              <w:rFonts w:eastAsia="宋体"/>
              <w:szCs w:val="24"/>
            </w:rPr>
            <w:t>（一）绩效结果挂钩次年预算资金安排</w:t>
          </w:r>
          <w:r>
            <w:rPr>
              <w:rFonts w:eastAsia="宋体"/>
              <w:szCs w:val="24"/>
            </w:rPr>
            <w:tab/>
          </w:r>
          <w:r>
            <w:rPr>
              <w:rFonts w:eastAsia="宋体"/>
              <w:szCs w:val="24"/>
            </w:rPr>
            <w:fldChar w:fldCharType="begin"/>
          </w:r>
          <w:r>
            <w:rPr>
              <w:rFonts w:eastAsia="宋体"/>
              <w:szCs w:val="24"/>
            </w:rPr>
            <w:instrText xml:space="preserve"> PAGEREF _Toc5087 \h </w:instrText>
          </w:r>
          <w:r>
            <w:rPr>
              <w:rFonts w:eastAsia="宋体"/>
              <w:szCs w:val="24"/>
            </w:rPr>
            <w:fldChar w:fldCharType="separate"/>
          </w:r>
          <w:r>
            <w:rPr>
              <w:rFonts w:eastAsia="宋体"/>
              <w:szCs w:val="24"/>
            </w:rPr>
            <w:t>19</w:t>
          </w:r>
          <w:r>
            <w:rPr>
              <w:rFonts w:eastAsia="宋体"/>
              <w:szCs w:val="24"/>
            </w:rPr>
            <w:fldChar w:fldCharType="end"/>
          </w:r>
          <w:r>
            <w:rPr>
              <w:rFonts w:eastAsia="宋体"/>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"_Toc30791" </w:instrText>
          </w:r>
          <w:r>
            <w:fldChar w:fldCharType="separate"/>
          </w:r>
          <w:r>
            <w:rPr>
              <w:rFonts w:eastAsia="宋体"/>
              <w:szCs w:val="24"/>
            </w:rPr>
            <w:t>（二）绩效结果挂钩整改措施</w:t>
          </w:r>
          <w:r>
            <w:rPr>
              <w:rFonts w:eastAsia="宋体"/>
              <w:szCs w:val="24"/>
            </w:rPr>
            <w:tab/>
          </w:r>
          <w:r>
            <w:rPr>
              <w:rFonts w:eastAsia="宋体"/>
              <w:szCs w:val="24"/>
            </w:rPr>
            <w:fldChar w:fldCharType="begin"/>
          </w:r>
          <w:r>
            <w:rPr>
              <w:rFonts w:eastAsia="宋体"/>
              <w:szCs w:val="24"/>
            </w:rPr>
            <w:instrText xml:space="preserve"> PAGEREF _Toc30791 \h </w:instrText>
          </w:r>
          <w:r>
            <w:rPr>
              <w:rFonts w:eastAsia="宋体"/>
              <w:szCs w:val="24"/>
            </w:rPr>
            <w:fldChar w:fldCharType="separate"/>
          </w:r>
          <w:r>
            <w:rPr>
              <w:rFonts w:eastAsia="宋体"/>
              <w:szCs w:val="24"/>
            </w:rPr>
            <w:t>20</w:t>
          </w:r>
          <w:r>
            <w:rPr>
              <w:rFonts w:eastAsia="宋体"/>
              <w:szCs w:val="24"/>
            </w:rPr>
            <w:fldChar w:fldCharType="end"/>
          </w:r>
          <w:r>
            <w:rPr>
              <w:rFonts w:eastAsia="宋体"/>
              <w:szCs w:val="24"/>
            </w:rPr>
            <w:fldChar w:fldCharType="end"/>
          </w:r>
        </w:p>
        <w:p>
          <w:pPr>
            <w:pStyle w:val="15"/>
            <w:tabs>
              <w:tab w:val="right" w:leader="dot" w:pos="8306"/>
            </w:tabs>
            <w:adjustRightInd/>
            <w:snapToGrid/>
            <w:ind w:firstLine="360"/>
            <w:rPr>
              <w:rFonts w:eastAsia="宋体"/>
              <w:szCs w:val="24"/>
            </w:rPr>
          </w:pPr>
          <w:r>
            <w:fldChar w:fldCharType="begin"/>
          </w:r>
          <w:r>
            <w:instrText xml:space="preserve"> HYPERLINK \l "_Toc4774" </w:instrText>
          </w:r>
          <w:r>
            <w:fldChar w:fldCharType="separate"/>
          </w:r>
          <w:r>
            <w:rPr>
              <w:rFonts w:eastAsia="宋体"/>
              <w:szCs w:val="24"/>
            </w:rPr>
            <w:t>（三）绩效结果挂钩报告公开</w:t>
          </w:r>
          <w:r>
            <w:rPr>
              <w:rFonts w:eastAsia="宋体"/>
              <w:szCs w:val="24"/>
            </w:rPr>
            <w:tab/>
          </w:r>
          <w:r>
            <w:rPr>
              <w:rFonts w:eastAsia="宋体"/>
              <w:szCs w:val="24"/>
            </w:rPr>
            <w:fldChar w:fldCharType="begin"/>
          </w:r>
          <w:r>
            <w:rPr>
              <w:rFonts w:eastAsia="宋体"/>
              <w:szCs w:val="24"/>
            </w:rPr>
            <w:instrText xml:space="preserve"> PAGEREF _Toc4774 \h </w:instrText>
          </w:r>
          <w:r>
            <w:rPr>
              <w:rFonts w:eastAsia="宋体"/>
              <w:szCs w:val="24"/>
            </w:rPr>
            <w:fldChar w:fldCharType="separate"/>
          </w:r>
          <w:r>
            <w:rPr>
              <w:rFonts w:eastAsia="宋体"/>
              <w:szCs w:val="24"/>
            </w:rPr>
            <w:t>20</w:t>
          </w:r>
          <w:r>
            <w:rPr>
              <w:rFonts w:eastAsia="宋体"/>
              <w:szCs w:val="24"/>
            </w:rPr>
            <w:fldChar w:fldCharType="end"/>
          </w:r>
          <w:r>
            <w:rPr>
              <w:rFonts w:eastAsia="宋体"/>
              <w:szCs w:val="24"/>
            </w:rPr>
            <w:fldChar w:fldCharType="end"/>
          </w:r>
        </w:p>
        <w:p>
          <w:pPr>
            <w:pStyle w:val="13"/>
            <w:tabs>
              <w:tab w:val="right" w:leader="dot" w:pos="8306"/>
              <w:tab w:val="clear" w:pos="9356"/>
            </w:tabs>
            <w:adjustRightInd/>
            <w:snapToGrid/>
            <w:rPr>
              <w:rFonts w:ascii="Times New Roman" w:hAnsi="Times New Roman" w:eastAsia="宋体" w:cs="Times New Roman"/>
              <w:color w:val="auto"/>
              <w:sz w:val="24"/>
              <w:szCs w:val="24"/>
            </w:rPr>
          </w:pPr>
          <w:r>
            <w:fldChar w:fldCharType="begin"/>
          </w:r>
          <w:r>
            <w:instrText xml:space="preserve"> HYPERLINK \l "_Toc30324" </w:instrText>
          </w:r>
          <w:r>
            <w:fldChar w:fldCharType="separate"/>
          </w:r>
          <w:r>
            <w:rPr>
              <w:rFonts w:ascii="Times New Roman" w:hAnsi="Times New Roman" w:eastAsia="宋体" w:cs="Times New Roman"/>
              <w:color w:val="auto"/>
              <w:sz w:val="24"/>
              <w:szCs w:val="24"/>
            </w:rPr>
            <w:t>附件1：绩效评价指标体系及综合评价表</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_Toc30324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3"/>
            <w:tabs>
              <w:tab w:val="right" w:leader="dot" w:pos="8306"/>
              <w:tab w:val="clear" w:pos="9356"/>
            </w:tabs>
            <w:adjustRightInd/>
            <w:snapToGrid/>
            <w:rPr>
              <w:rFonts w:ascii="Times New Roman" w:hAnsi="Times New Roman" w:eastAsia="宋体" w:cs="Times New Roman"/>
              <w:color w:val="auto"/>
              <w:sz w:val="24"/>
              <w:szCs w:val="24"/>
            </w:rPr>
          </w:pPr>
          <w:r>
            <w:fldChar w:fldCharType="begin"/>
          </w:r>
          <w:r>
            <w:instrText xml:space="preserve"> HYPERLINK \l "_Toc21815" </w:instrText>
          </w:r>
          <w:r>
            <w:fldChar w:fldCharType="separate"/>
          </w:r>
          <w:r>
            <w:rPr>
              <w:rFonts w:ascii="Times New Roman" w:hAnsi="Times New Roman" w:eastAsia="宋体" w:cs="Times New Roman"/>
              <w:color w:val="auto"/>
              <w:sz w:val="24"/>
              <w:szCs w:val="24"/>
            </w:rPr>
            <w:t>附件2：基础表</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_Toc21815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30</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3"/>
            <w:tabs>
              <w:tab w:val="right" w:leader="dot" w:pos="8306"/>
              <w:tab w:val="clear" w:pos="9356"/>
            </w:tabs>
            <w:adjustRightInd/>
            <w:snapToGrid/>
            <w:rPr>
              <w:rFonts w:ascii="Times New Roman" w:hAnsi="Times New Roman" w:eastAsia="宋体" w:cs="Times New Roman"/>
              <w:color w:val="auto"/>
              <w:sz w:val="24"/>
              <w:szCs w:val="24"/>
            </w:rPr>
          </w:pPr>
          <w:r>
            <w:fldChar w:fldCharType="begin"/>
          </w:r>
          <w:r>
            <w:instrText xml:space="preserve"> HYPERLINK \l "_Toc29082" </w:instrText>
          </w:r>
          <w:r>
            <w:fldChar w:fldCharType="separate"/>
          </w:r>
          <w:r>
            <w:rPr>
              <w:rFonts w:ascii="Times New Roman" w:hAnsi="Times New Roman" w:eastAsia="宋体" w:cs="Times New Roman"/>
              <w:color w:val="auto"/>
              <w:sz w:val="24"/>
              <w:szCs w:val="24"/>
            </w:rPr>
            <w:t>附件3：问卷调查分析报告</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_Toc29082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pStyle w:val="13"/>
            <w:tabs>
              <w:tab w:val="right" w:leader="dot" w:pos="8306"/>
              <w:tab w:val="clear" w:pos="9356"/>
            </w:tabs>
            <w:adjustRightInd/>
            <w:snapToGrid/>
            <w:rPr>
              <w:rFonts w:ascii="Times New Roman" w:hAnsi="Times New Roman" w:cs="Times New Roman"/>
              <w:color w:val="auto"/>
              <w:sz w:val="24"/>
              <w:szCs w:val="24"/>
            </w:rPr>
          </w:pPr>
          <w:r>
            <w:fldChar w:fldCharType="begin"/>
          </w:r>
          <w:r>
            <w:instrText xml:space="preserve"> HYPERLINK \l "_Toc23162" </w:instrText>
          </w:r>
          <w:r>
            <w:fldChar w:fldCharType="separate"/>
          </w:r>
          <w:r>
            <w:rPr>
              <w:rFonts w:ascii="Times New Roman" w:hAnsi="Times New Roman" w:eastAsia="宋体" w:cs="Times New Roman"/>
              <w:color w:val="auto"/>
              <w:sz w:val="24"/>
              <w:szCs w:val="24"/>
            </w:rPr>
            <w:t>附件4：《绩效评价报告意见反馈表》</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_Toc23162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pPr>
            <w:spacing w:line="480" w:lineRule="auto"/>
            <w:ind w:firstLine="0" w:firstLineChars="0"/>
            <w:jc w:val="center"/>
            <w:rPr>
              <w:rFonts w:eastAsia="宋体"/>
            </w:rPr>
          </w:pPr>
          <w:r>
            <w:rPr>
              <w:rFonts w:eastAsia="宋体"/>
              <w:b/>
            </w:rPr>
            <w:fldChar w:fldCharType="end"/>
          </w:r>
        </w:p>
      </w:sdtContent>
    </w:sdt>
    <w:p>
      <w:pPr>
        <w:spacing w:line="480" w:lineRule="auto"/>
        <w:ind w:firstLine="0" w:firstLineChars="0"/>
        <w:rPr>
          <w:rFonts w:eastAsia="宋体"/>
        </w:rPr>
      </w:pPr>
    </w:p>
    <w:p>
      <w:pPr>
        <w:spacing w:line="480" w:lineRule="auto"/>
        <w:ind w:firstLine="0" w:firstLineChars="0"/>
        <w:rPr>
          <w:rFonts w:eastAsia="宋体"/>
          <w:b/>
          <w:sz w:val="32"/>
          <w:szCs w:val="32"/>
        </w:rPr>
        <w:sectPr>
          <w:footerReference r:id="rId7" w:type="default"/>
          <w:pgSz w:w="11906" w:h="16838"/>
          <w:pgMar w:top="1440" w:right="1800" w:bottom="1440" w:left="1800" w:header="851" w:footer="992" w:gutter="0"/>
          <w:cols w:space="425" w:num="1"/>
          <w:docGrid w:type="lines" w:linePitch="312" w:charSpace="0"/>
        </w:sectPr>
      </w:pPr>
    </w:p>
    <w:p>
      <w:pPr>
        <w:adjustRightInd/>
        <w:snapToGrid/>
        <w:spacing w:line="500" w:lineRule="exact"/>
        <w:ind w:left="-178" w:leftChars="-85" w:firstLine="0" w:firstLineChars="0"/>
        <w:jc w:val="center"/>
        <w:outlineLvl w:val="0"/>
        <w:rPr>
          <w:rFonts w:eastAsia="楷体_GB2312"/>
          <w:b/>
          <w:sz w:val="48"/>
          <w:szCs w:val="48"/>
        </w:rPr>
      </w:pPr>
      <w:bookmarkStart w:id="5" w:name="_Toc25378"/>
      <w:bookmarkStart w:id="6" w:name="_Toc26455"/>
      <w:r>
        <w:rPr>
          <w:rFonts w:eastAsia="仿宋_GB2312"/>
          <w:b/>
          <w:sz w:val="48"/>
          <w:szCs w:val="48"/>
        </w:rPr>
        <w:t>新疆驰远天合有限责任会计师事务所</w:t>
      </w:r>
      <w:bookmarkEnd w:id="5"/>
      <w:bookmarkEnd w:id="6"/>
    </w:p>
    <w:p>
      <w:pPr>
        <w:adjustRightInd/>
        <w:snapToGrid/>
        <w:spacing w:line="660" w:lineRule="auto"/>
        <w:ind w:firstLine="0" w:firstLineChars="0"/>
        <w:jc w:val="center"/>
        <w:rPr>
          <w:rFonts w:eastAsia="宋体"/>
          <w:sz w:val="24"/>
          <w:szCs w:val="24"/>
        </w:rPr>
      </w:pPr>
      <w:r>
        <w:rPr>
          <w:rFonts w:eastAsia="宋体"/>
          <w:sz w:val="24"/>
          <w:szCs w:val="24"/>
        </w:rPr>
        <w:t>Xinjiang Chiyuantianhe Certified Public Accountants Co.</w:t>
      </w:r>
      <w:r>
        <w:rPr>
          <w:rFonts w:hint="eastAsia" w:eastAsia="宋体"/>
          <w:sz w:val="24"/>
          <w:szCs w:val="24"/>
          <w:lang w:eastAsia="zh-CN"/>
        </w:rPr>
        <w:t>，</w:t>
      </w:r>
      <w:r>
        <w:rPr>
          <w:rFonts w:eastAsia="宋体"/>
          <w:sz w:val="24"/>
          <w:szCs w:val="24"/>
        </w:rPr>
        <w:t>Ltd.</w:t>
      </w:r>
    </w:p>
    <w:p>
      <w:pPr>
        <w:adjustRightInd/>
        <w:snapToGrid/>
        <w:spacing w:line="440" w:lineRule="exact"/>
        <w:ind w:firstLine="0" w:firstLineChars="0"/>
        <w:jc w:val="center"/>
        <w:outlineLvl w:val="0"/>
        <w:rPr>
          <w:rFonts w:eastAsia="宋体"/>
          <w:b/>
          <w:kern w:val="0"/>
          <w:sz w:val="44"/>
          <w:szCs w:val="44"/>
        </w:rPr>
      </w:pPr>
      <w:bookmarkStart w:id="7" w:name="_Toc23718"/>
      <w:bookmarkStart w:id="8" w:name="_Toc4177"/>
      <w:r>
        <w:rPr>
          <w:rFonts w:eastAsia="宋体"/>
          <w:b/>
          <w:spacing w:val="66"/>
          <w:kern w:val="0"/>
          <w:sz w:val="44"/>
          <w:szCs w:val="44"/>
          <w:fitText w:val="3300" w:id="1424759405"/>
        </w:rPr>
        <w:t>绩效评价报</w:t>
      </w:r>
      <w:r>
        <w:rPr>
          <w:rFonts w:eastAsia="宋体"/>
          <w:b/>
          <w:spacing w:val="0"/>
          <w:kern w:val="0"/>
          <w:sz w:val="44"/>
          <w:szCs w:val="44"/>
          <w:fitText w:val="3300" w:id="1424759405"/>
        </w:rPr>
        <w:t>告</w:t>
      </w:r>
      <w:bookmarkEnd w:id="7"/>
      <w:bookmarkEnd w:id="8"/>
    </w:p>
    <w:p>
      <w:pPr>
        <w:adjustRightInd/>
        <w:snapToGrid/>
        <w:spacing w:line="440" w:lineRule="exact"/>
        <w:ind w:firstLine="0" w:firstLineChars="0"/>
        <w:jc w:val="center"/>
        <w:outlineLvl w:val="0"/>
      </w:pPr>
      <w:bookmarkStart w:id="9" w:name="_Toc29279"/>
      <w:bookmarkStart w:id="10" w:name="_Toc3967"/>
      <w:r>
        <w:rPr>
          <w:rFonts w:eastAsia="宋体"/>
        </w:rPr>
        <w:t>驰天信咨字[2023]1-0158号</w:t>
      </w:r>
      <w:bookmarkEnd w:id="9"/>
      <w:bookmarkEnd w:id="10"/>
    </w:p>
    <w:p>
      <w:pPr>
        <w:ind w:firstLine="0" w:firstLineChars="0"/>
        <w:rPr>
          <w:rFonts w:eastAsia="宋体"/>
        </w:rPr>
      </w:pPr>
      <w:r>
        <w:rPr>
          <w:rFonts w:eastAsia="宋体"/>
        </w:rPr>
        <w:t>巴楚县财政局：</w:t>
      </w:r>
    </w:p>
    <w:p>
      <w:pPr>
        <w:ind w:firstLine="420"/>
        <w:rPr>
          <w:rFonts w:eastAsia="宋体"/>
        </w:rPr>
      </w:pPr>
      <w:r>
        <w:t>为贯彻落实全面推进预算绩效管理工作的要求，完善部门预算管理，强化预算支出责任，提高财政资金的使用效益，根据《中华人民共和国预算法》《中共中央国务院关于全面实施预算绩效管理的意见》（中发〔2018〕34号）、《项目支出绩效评价管理办法》（财预〔2020〕10号）、《财政部关于印发〈第三方机构预算绩效评价业务监督管理暂行办法〉的通知》（财监〔2021〕4号）、《关于委托第三方机构参与预算绩效管理的指导意见》（财预〔2021〕6 号）、《关于进一步加强和规范第三方机构参与预算绩效管理的通知》（新财预〔2021〕49号）、《自治区党委自治区人民政府关于全面实施预算绩效管理的实施意见》（新党发〔2018〕30号）等系列文件的要求，受巴楚县财政局的委托，新疆驰远天合有限责任会计师事务所以第三方社会评价机构的身份，承担了2022年农业机械购置补贴项目的绩效评价工作并形成绩效评价报告，巴楚县农业农村机械化发展中心负责提供与本次绩效评价相关的项目资料并保证项</w:t>
      </w:r>
      <w:r>
        <w:rPr>
          <w:rFonts w:eastAsia="宋体"/>
        </w:rPr>
        <w:t>目资料的真实、合法、准确和完整，现将项目绩效评价情况报告如下：</w:t>
      </w:r>
    </w:p>
    <w:p>
      <w:pPr>
        <w:pStyle w:val="5"/>
        <w:spacing w:line="360" w:lineRule="auto"/>
        <w:ind w:firstLine="482"/>
        <w:rPr>
          <w:rFonts w:ascii="Times New Roman" w:hAnsi="Times New Roman"/>
        </w:rPr>
      </w:pPr>
      <w:bookmarkStart w:id="11" w:name="_Toc68364657"/>
      <w:bookmarkStart w:id="12" w:name="_Toc31763"/>
      <w:r>
        <w:rPr>
          <w:rFonts w:ascii="Times New Roman" w:hAnsi="Times New Roman"/>
        </w:rPr>
        <w:t>一、基本情况</w:t>
      </w:r>
      <w:bookmarkEnd w:id="11"/>
      <w:bookmarkEnd w:id="12"/>
    </w:p>
    <w:p>
      <w:pPr>
        <w:pStyle w:val="6"/>
        <w:ind w:firstLine="482"/>
        <w:rPr>
          <w:rFonts w:ascii="Times New Roman" w:hAnsi="Times New Roman"/>
        </w:rPr>
      </w:pPr>
      <w:bookmarkStart w:id="13" w:name="_Toc11951"/>
      <w:bookmarkStart w:id="14" w:name="_Toc68364658"/>
      <w:r>
        <w:rPr>
          <w:rFonts w:ascii="Times New Roman" w:hAnsi="Times New Roman"/>
        </w:rPr>
        <w:t>（一）项目概况</w:t>
      </w:r>
      <w:bookmarkEnd w:id="13"/>
      <w:bookmarkEnd w:id="14"/>
    </w:p>
    <w:p>
      <w:pPr>
        <w:pStyle w:val="2"/>
        <w:ind w:firstLine="422"/>
        <w:rPr>
          <w:rFonts w:ascii="Times New Roman" w:hAnsi="Times New Roman"/>
        </w:rPr>
      </w:pPr>
      <w:r>
        <w:rPr>
          <w:rFonts w:ascii="Times New Roman" w:hAnsi="Times New Roman"/>
        </w:rPr>
        <w:t>1.项目立项背景及目的</w:t>
      </w:r>
    </w:p>
    <w:p>
      <w:pPr>
        <w:ind w:firstLine="420"/>
      </w:pPr>
      <w:r>
        <w:t>农业机械化和农机装备是转变农业发展方式、提高农村生产力的重要基础，是实施乡村振兴战略的重要支撑。没有农业机械化，就没有农业农村现代化。近年来，我国农机制造水平稳步提升，农机装备总量持续增长，农机作业水平快速提高，农业生产已从主要依靠人力畜力转向主要依靠机械动力，进入了机械化为主导的新阶段。</w:t>
      </w:r>
    </w:p>
    <w:p>
      <w:pPr>
        <w:ind w:firstLine="420"/>
      </w:pPr>
      <w:r>
        <w:t>根据《关于加快推进农业机械化和农机装备产业转型升级的指导意见》（国发〔2018〕42号）政策要求，农业机械化和农机装备是转变农业发展方式、提高农村生产力的重要基础，是实施乡村振兴战略的重要支撑。</w:t>
      </w:r>
      <w:r>
        <w:rPr>
          <w:rFonts w:hint="eastAsia"/>
          <w:lang w:eastAsia="zh-CN"/>
        </w:rPr>
        <w:t>“</w:t>
      </w:r>
      <w:r>
        <w:t>十四五</w:t>
      </w:r>
      <w:r>
        <w:rPr>
          <w:rFonts w:hint="eastAsia"/>
          <w:lang w:eastAsia="zh-CN"/>
        </w:rPr>
        <w:t>”</w:t>
      </w:r>
      <w:r>
        <w:t>时期，</w:t>
      </w:r>
      <w:r>
        <w:rPr>
          <w:rFonts w:hint="eastAsia"/>
          <w:lang w:eastAsia="zh-CN"/>
        </w:rPr>
        <w:t>“三农”</w:t>
      </w:r>
      <w:r>
        <w:t>工作进入全面推进乡村振兴、加快农业农村现代化的新阶段</w:t>
      </w:r>
      <w:r>
        <w:rPr>
          <w:rFonts w:hint="eastAsia"/>
          <w:lang w:eastAsia="zh-CN"/>
        </w:rPr>
        <w:t>，</w:t>
      </w:r>
      <w:r>
        <w:t>对农业机械化全程全面和高质量发展提出了新的更高的要求。为贯彻落实《中华人民共和国国民经济和社会发展第十四个五年规划和2035年远景目标纲要》《</w:t>
      </w:r>
      <w:r>
        <w:rPr>
          <w:rFonts w:hint="eastAsia"/>
          <w:lang w:eastAsia="zh-CN"/>
        </w:rPr>
        <w:t>“</w:t>
      </w:r>
      <w:r>
        <w:t>十四五</w:t>
      </w:r>
      <w:r>
        <w:rPr>
          <w:rFonts w:hint="eastAsia"/>
          <w:lang w:eastAsia="zh-CN"/>
        </w:rPr>
        <w:t>”</w:t>
      </w:r>
      <w:r>
        <w:t>推进农业农村现代化规划》和《国务院关于加快推进农业机械化和农机装备产业转型升级的指导意见》有关部署，《</w:t>
      </w:r>
      <w:r>
        <w:rPr>
          <w:rFonts w:hint="eastAsia"/>
          <w:lang w:eastAsia="zh-CN"/>
        </w:rPr>
        <w:t>“</w:t>
      </w:r>
      <w:r>
        <w:t>十四五</w:t>
      </w:r>
      <w:r>
        <w:rPr>
          <w:rFonts w:hint="eastAsia"/>
          <w:lang w:eastAsia="zh-CN"/>
        </w:rPr>
        <w:t>”</w:t>
      </w:r>
      <w:r>
        <w:t>全国农业机械化发展规划》明确了着力提升粮食作物生产全程机械化水平、加快推动农业机械化智能化、绿色化等主要发展目标。</w:t>
      </w:r>
    </w:p>
    <w:p>
      <w:pPr>
        <w:ind w:firstLine="420"/>
        <w:rPr>
          <w:szCs w:val="22"/>
        </w:rPr>
      </w:pPr>
      <w:r>
        <w:rPr>
          <w:rFonts w:eastAsia="宋体"/>
        </w:rPr>
        <w:t>为了进一步加快农机报废更新补贴工作，巴楚县农业农村机械化发展中心按照《新疆维吾尔自治区农业机械报废更新补贴实施方案》</w:t>
      </w:r>
      <w:r>
        <w:t>（新农机〔2020〕151号）的文件精神，对提交报废农机回收资质认定申请的农机合作社或其他企业，予以现场核查、公示，准予从事报废农机回收，通过实施2022年农业</w:t>
      </w:r>
      <w:r>
        <w:rPr>
          <w:rFonts w:eastAsia="宋体"/>
        </w:rPr>
        <w:t>机械购置补贴项目，加强对报废农机回收企业的依法监督管理，支持引导农民购置先进适用的农业机械，引领推动农业机械化向全程全面高质高量发展</w:t>
      </w:r>
      <w:r>
        <w:rPr>
          <w:szCs w:val="22"/>
        </w:rPr>
        <w:t>。</w:t>
      </w:r>
    </w:p>
    <w:p>
      <w:pPr>
        <w:pStyle w:val="2"/>
        <w:ind w:firstLine="422"/>
        <w:rPr>
          <w:rFonts w:ascii="Times New Roman" w:hAnsi="Times New Roman"/>
        </w:rPr>
      </w:pPr>
      <w:r>
        <w:rPr>
          <w:rFonts w:ascii="Times New Roman" w:hAnsi="Times New Roman"/>
        </w:rPr>
        <w:t>2.主要内容</w:t>
      </w:r>
    </w:p>
    <w:p>
      <w:pPr>
        <w:ind w:firstLine="420"/>
      </w:pPr>
      <w:r>
        <w:t>项目名称：2022年农业机械购置补贴项目（以下简称</w:t>
      </w:r>
      <w:r>
        <w:rPr>
          <w:rFonts w:hint="eastAsia"/>
          <w:lang w:eastAsia="zh-CN"/>
        </w:rPr>
        <w:t>“</w:t>
      </w:r>
      <w:r>
        <w:t>该项目</w:t>
      </w:r>
      <w:r>
        <w:rPr>
          <w:rFonts w:hint="eastAsia"/>
          <w:lang w:eastAsia="zh-CN"/>
        </w:rPr>
        <w:t>”</w:t>
      </w:r>
      <w:r>
        <w:t>或</w:t>
      </w:r>
      <w:r>
        <w:rPr>
          <w:rFonts w:hint="eastAsia"/>
          <w:lang w:eastAsia="zh-CN"/>
        </w:rPr>
        <w:t>“</w:t>
      </w:r>
      <w:r>
        <w:t>项目</w:t>
      </w:r>
      <w:r>
        <w:rPr>
          <w:rFonts w:hint="eastAsia"/>
          <w:lang w:eastAsia="zh-CN"/>
        </w:rPr>
        <w:t>”</w:t>
      </w:r>
      <w:r>
        <w:t>）</w:t>
      </w:r>
    </w:p>
    <w:p>
      <w:pPr>
        <w:ind w:firstLine="420"/>
      </w:pPr>
      <w:r>
        <w:t>项目主要内容：开展农机购置及应用补贴，根据中央财政补贴的机具种类范围15大类42个小类155个品目，为巴楚县各乡镇符合补贴条件的1485台农机机具（920台农业动力机械和565台配套机具）进行补贴，享受补贴农户1149户。</w:t>
      </w:r>
    </w:p>
    <w:p>
      <w:pPr>
        <w:pStyle w:val="2"/>
        <w:ind w:firstLine="422"/>
        <w:rPr>
          <w:rFonts w:ascii="Times New Roman" w:hAnsi="Times New Roman"/>
        </w:rPr>
      </w:pPr>
      <w:r>
        <w:rPr>
          <w:rFonts w:ascii="Times New Roman" w:hAnsi="Times New Roman"/>
        </w:rPr>
        <w:t>3.项目实施情况</w:t>
      </w:r>
    </w:p>
    <w:p>
      <w:pPr>
        <w:ind w:firstLine="420"/>
      </w:pPr>
      <w:r>
        <w:t>（1）项目实施主体</w:t>
      </w:r>
    </w:p>
    <w:p>
      <w:pPr>
        <w:ind w:firstLine="420"/>
        <w:rPr>
          <w:rFonts w:eastAsia="宋体"/>
        </w:rPr>
      </w:pPr>
      <w:r>
        <w:t>该</w:t>
      </w:r>
      <w:r>
        <w:rPr>
          <w:rFonts w:eastAsia="宋体"/>
        </w:rPr>
        <w:t>项目实施主体为巴楚县农业农村机械化发展中心，主要职责是：</w:t>
      </w:r>
    </w:p>
    <w:p>
      <w:pPr>
        <w:ind w:firstLine="420"/>
        <w:rPr>
          <w:rFonts w:eastAsia="宋体"/>
        </w:rPr>
      </w:pPr>
      <w:r>
        <w:t>①</w:t>
      </w:r>
      <w:r>
        <w:rPr>
          <w:rFonts w:eastAsia="宋体"/>
        </w:rPr>
        <w:t>宣传贯彻落实国家和省有关农机方面的方针、政策、法律、法规，编制全县农机化发展中长期规划及年度工作计划，并组织实施。</w:t>
      </w:r>
    </w:p>
    <w:p>
      <w:pPr>
        <w:ind w:firstLine="420"/>
        <w:rPr>
          <w:rFonts w:eastAsia="宋体"/>
        </w:rPr>
      </w:pPr>
      <w:r>
        <w:t>②</w:t>
      </w:r>
      <w:r>
        <w:rPr>
          <w:rFonts w:eastAsia="宋体"/>
        </w:rPr>
        <w:t>负责农机安全宣传、安全技术检验、安全操作、技术指导、服务管理工作。</w:t>
      </w:r>
    </w:p>
    <w:p>
      <w:pPr>
        <w:ind w:firstLine="420"/>
        <w:rPr>
          <w:rFonts w:eastAsia="宋体"/>
        </w:rPr>
      </w:pPr>
      <w:r>
        <w:t>③</w:t>
      </w:r>
      <w:r>
        <w:rPr>
          <w:rFonts w:eastAsia="宋体"/>
        </w:rPr>
        <w:t>负责农业机械的注册登记、农机行驶证、驾驶证（包括变型拖拉机）的核发、定期检审验、备案，农机操作人员考试、复试及操作证的核发工作。</w:t>
      </w:r>
    </w:p>
    <w:p>
      <w:pPr>
        <w:ind w:firstLine="420"/>
        <w:rPr>
          <w:rFonts w:eastAsia="宋体"/>
        </w:rPr>
      </w:pPr>
      <w:r>
        <w:t>④</w:t>
      </w:r>
      <w:r>
        <w:rPr>
          <w:rFonts w:eastAsia="宋体"/>
        </w:rPr>
        <w:t>负责农机维修、农机作业事中事后服务管理工作。</w:t>
      </w:r>
    </w:p>
    <w:p>
      <w:pPr>
        <w:ind w:firstLine="420"/>
        <w:rPr>
          <w:rFonts w:eastAsia="宋体"/>
        </w:rPr>
      </w:pPr>
      <w:r>
        <w:t>⑤</w:t>
      </w:r>
      <w:r>
        <w:rPr>
          <w:rFonts w:eastAsia="宋体"/>
        </w:rPr>
        <w:t>负责先进适用农机新技术、新装备的引进、试验、示范、推广应用和农机化项目工作。</w:t>
      </w:r>
    </w:p>
    <w:p>
      <w:pPr>
        <w:ind w:firstLine="420"/>
        <w:rPr>
          <w:rFonts w:eastAsia="宋体"/>
        </w:rPr>
      </w:pPr>
      <w:r>
        <w:t>⑥</w:t>
      </w:r>
      <w:r>
        <w:rPr>
          <w:rFonts w:eastAsia="宋体"/>
        </w:rPr>
        <w:t>负责农机购置补贴及农业机械的报废和更新工作。</w:t>
      </w:r>
    </w:p>
    <w:p>
      <w:pPr>
        <w:ind w:firstLine="420"/>
        <w:rPr>
          <w:rFonts w:eastAsia="宋体"/>
        </w:rPr>
      </w:pPr>
      <w:r>
        <w:t>⑦</w:t>
      </w:r>
      <w:r>
        <w:rPr>
          <w:rFonts w:eastAsia="宋体"/>
        </w:rPr>
        <w:t>负责指导全县农机社会化服务体系建设，促进农机服务组织创新和发展。</w:t>
      </w:r>
    </w:p>
    <w:p>
      <w:pPr>
        <w:ind w:firstLine="420"/>
        <w:rPr>
          <w:rFonts w:eastAsia="宋体"/>
        </w:rPr>
      </w:pPr>
      <w:r>
        <w:t>⑧</w:t>
      </w:r>
      <w:r>
        <w:rPr>
          <w:rFonts w:eastAsia="宋体"/>
        </w:rPr>
        <w:t>组织和协调涉外农机化经济活动。</w:t>
      </w:r>
    </w:p>
    <w:p>
      <w:pPr>
        <w:ind w:firstLine="420"/>
        <w:rPr>
          <w:rFonts w:eastAsia="宋体"/>
        </w:rPr>
      </w:pPr>
      <w:r>
        <w:t>⑨</w:t>
      </w:r>
      <w:r>
        <w:rPr>
          <w:rFonts w:eastAsia="宋体"/>
        </w:rPr>
        <w:t>指导镇农机化发展工作。</w:t>
      </w:r>
    </w:p>
    <w:p>
      <w:pPr>
        <w:ind w:firstLine="420"/>
      </w:pPr>
      <w:r>
        <w:t>⑩</w:t>
      </w:r>
      <w:r>
        <w:rPr>
          <w:rFonts w:eastAsia="宋体"/>
        </w:rPr>
        <w:t>完成县委、县政府交办的其他任务。</w:t>
      </w:r>
    </w:p>
    <w:p>
      <w:pPr>
        <w:ind w:firstLine="420"/>
      </w:pPr>
      <w:r>
        <w:t>（2）实施时间及评价时间</w:t>
      </w:r>
    </w:p>
    <w:p>
      <w:pPr>
        <w:ind w:firstLine="420"/>
      </w:pPr>
      <w:r>
        <w:t>该项目实施时间为2022年1月-2022年12月，本次绩效评价时间段为2022年1月-2022年12月。</w:t>
      </w:r>
    </w:p>
    <w:p>
      <w:pPr>
        <w:ind w:firstLine="420"/>
      </w:pPr>
      <w:r>
        <w:t>（3）实施计划和完成情况</w:t>
      </w:r>
    </w:p>
    <w:p>
      <w:pPr>
        <w:ind w:firstLine="420"/>
      </w:pPr>
      <w:r>
        <w:t>实施计划；2021年7月13日，巴楚县农业农村机械化发展中心编制《巴楚县农业机械报废更新补贴实施方案》，确定农业机械报废更新补贴工作领导小组、补贴种类、报废条件和补贴标准等，按照巴楚县人民政府下达《关于印发&lt;巴楚县2022年农机购置与应用补贴试点方案&gt;的通知》（巴政办发〔2022〕48号），对试点时间、试点范围、试点机具、补贴标准和兑付方式等内容要求实施。</w:t>
      </w:r>
    </w:p>
    <w:p>
      <w:pPr>
        <w:ind w:firstLine="420"/>
      </w:pPr>
      <w:r>
        <w:t>完成情况：</w:t>
      </w:r>
      <w:r>
        <w:rPr>
          <w:rFonts w:hint="eastAsia"/>
          <w:lang w:eastAsia="zh-CN"/>
        </w:rPr>
        <w:t>截至</w:t>
      </w:r>
      <w:r>
        <w:t>2022年12月31日，由巴楚县农业农村机械化发展中心对申请补助的机械进行信息录入、资料审核、机具核验、系统公示等程序，并在乡村两级进行公示，公示期满无异议后，开展</w:t>
      </w:r>
      <w:r>
        <w:rPr>
          <w:rFonts w:eastAsia="宋体"/>
        </w:rPr>
        <w:t>1485</w:t>
      </w:r>
      <w:r>
        <w:t>台农机机具</w:t>
      </w:r>
      <w:r>
        <w:rPr>
          <w:rFonts w:hint="eastAsia"/>
          <w:lang w:eastAsia="zh-CN"/>
        </w:rPr>
        <w:t>（</w:t>
      </w:r>
      <w:r>
        <w:rPr>
          <w:rFonts w:eastAsia="宋体"/>
        </w:rPr>
        <w:t>920</w:t>
      </w:r>
      <w:r>
        <w:t>台农业动力机械和</w:t>
      </w:r>
      <w:r>
        <w:rPr>
          <w:rFonts w:eastAsia="宋体"/>
        </w:rPr>
        <w:t>565</w:t>
      </w:r>
      <w:r>
        <w:t>台配套机具</w:t>
      </w:r>
      <w:r>
        <w:rPr>
          <w:rFonts w:hint="eastAsia"/>
          <w:lang w:eastAsia="zh-CN"/>
        </w:rPr>
        <w:t>）</w:t>
      </w:r>
      <w:r>
        <w:t>补贴发放工作，共计发放补贴金额</w:t>
      </w:r>
      <w:r>
        <w:rPr>
          <w:rFonts w:eastAsia="宋体"/>
        </w:rPr>
        <w:t>5402.91</w:t>
      </w:r>
      <w:r>
        <w:t>万元，受益补贴农户</w:t>
      </w:r>
      <w:r>
        <w:rPr>
          <w:rFonts w:eastAsia="宋体"/>
        </w:rPr>
        <w:t>1149</w:t>
      </w:r>
      <w:r>
        <w:t>户。</w:t>
      </w:r>
    </w:p>
    <w:p>
      <w:pPr>
        <w:pStyle w:val="2"/>
        <w:ind w:firstLine="422"/>
        <w:rPr>
          <w:rFonts w:ascii="Times New Roman" w:hAnsi="Times New Roman"/>
        </w:rPr>
      </w:pPr>
      <w:r>
        <w:rPr>
          <w:rFonts w:ascii="Times New Roman" w:hAnsi="Times New Roman"/>
        </w:rPr>
        <w:t>4.资金投入和使用情况</w:t>
      </w:r>
    </w:p>
    <w:p>
      <w:pPr>
        <w:ind w:firstLine="420"/>
      </w:pPr>
      <w:bookmarkStart w:id="15" w:name="_Toc26719"/>
      <w:bookmarkStart w:id="16" w:name="_Toc29234"/>
      <w:bookmarkStart w:id="17" w:name="_Toc25610"/>
      <w:bookmarkStart w:id="18" w:name="_Toc68364659"/>
      <w:r>
        <w:t>（1）预算安排情况</w:t>
      </w:r>
      <w:bookmarkEnd w:id="15"/>
      <w:bookmarkEnd w:id="16"/>
      <w:bookmarkEnd w:id="17"/>
    </w:p>
    <w:p>
      <w:pPr>
        <w:ind w:firstLine="420"/>
      </w:pPr>
      <w:r>
        <w:t>该项目预算资金总额为</w:t>
      </w:r>
      <w:r>
        <w:rPr>
          <w:rFonts w:eastAsia="宋体"/>
        </w:rPr>
        <w:t>5412.00</w:t>
      </w:r>
      <w:r>
        <w:t>万元，其中</w:t>
      </w:r>
      <w:r>
        <w:rPr>
          <w:lang w:eastAsia="zh-Hans"/>
        </w:rPr>
        <w:t>：</w:t>
      </w:r>
      <w:r>
        <w:t>财政资金</w:t>
      </w:r>
      <w:r>
        <w:rPr>
          <w:rFonts w:eastAsia="宋体"/>
        </w:rPr>
        <w:t>5412.00</w:t>
      </w:r>
      <w:r>
        <w:t>万元，其他资金</w:t>
      </w:r>
      <w:r>
        <w:rPr>
          <w:rFonts w:eastAsia="宋体"/>
        </w:rPr>
        <w:t>0.00</w:t>
      </w:r>
      <w:r>
        <w:t>万元。实际到位资金</w:t>
      </w:r>
      <w:r>
        <w:rPr>
          <w:rFonts w:eastAsia="宋体"/>
        </w:rPr>
        <w:t>5412.00</w:t>
      </w:r>
      <w:r>
        <w:t>万元，其中</w:t>
      </w:r>
      <w:r>
        <w:rPr>
          <w:lang w:eastAsia="zh-Hans"/>
        </w:rPr>
        <w:t>：</w:t>
      </w:r>
      <w:r>
        <w:t>财政资金</w:t>
      </w:r>
      <w:r>
        <w:rPr>
          <w:rFonts w:eastAsia="宋体"/>
        </w:rPr>
        <w:t>5412.00</w:t>
      </w:r>
      <w:r>
        <w:t>万元，其他资金</w:t>
      </w:r>
      <w:r>
        <w:rPr>
          <w:rFonts w:eastAsia="宋体"/>
        </w:rPr>
        <w:t>0.00</w:t>
      </w:r>
      <w:r>
        <w:t>万</w:t>
      </w:r>
      <w:r>
        <w:rPr>
          <w:lang w:eastAsia="zh-Hans"/>
        </w:rPr>
        <w:t>元</w:t>
      </w:r>
      <w:r>
        <w:t>，资金到位率为</w:t>
      </w:r>
      <w:r>
        <w:rPr>
          <w:rFonts w:eastAsia="宋体"/>
        </w:rPr>
        <w:t>100.00</w:t>
      </w:r>
      <w:r>
        <w:t>%。</w:t>
      </w:r>
    </w:p>
    <w:p>
      <w:pPr>
        <w:ind w:firstLine="420"/>
      </w:pPr>
      <w:bookmarkStart w:id="19" w:name="_Toc11782"/>
      <w:bookmarkStart w:id="20" w:name="_Toc9175"/>
      <w:bookmarkStart w:id="21" w:name="_Toc602"/>
      <w:r>
        <w:t>（2）预算执行情况</w:t>
      </w:r>
      <w:bookmarkEnd w:id="19"/>
      <w:bookmarkEnd w:id="20"/>
      <w:bookmarkEnd w:id="21"/>
      <w:bookmarkStart w:id="22" w:name="_Toc26730_WPSOffice_Level2"/>
      <w:bookmarkStart w:id="23" w:name="_Toc7146"/>
      <w:bookmarkStart w:id="24" w:name="_Toc1358"/>
      <w:bookmarkStart w:id="25" w:name="_Toc31673"/>
      <w:bookmarkStart w:id="26" w:name="_Toc5462339"/>
      <w:bookmarkStart w:id="27" w:name="_Toc7872"/>
    </w:p>
    <w:p>
      <w:pPr>
        <w:ind w:firstLine="420"/>
      </w:pPr>
      <w:r>
        <w:t>该项目实际支出资金总额为</w:t>
      </w:r>
      <w:r>
        <w:rPr>
          <w:rFonts w:eastAsia="宋体"/>
        </w:rPr>
        <w:t>5402.91</w:t>
      </w:r>
      <w:r>
        <w:t>万元，预算资金执行率为</w:t>
      </w:r>
      <w:r>
        <w:rPr>
          <w:rFonts w:eastAsia="宋体"/>
        </w:rPr>
        <w:t>99.83</w:t>
      </w:r>
      <w:r>
        <w:t>%。详细资金支出明细见</w:t>
      </w:r>
      <w:r>
        <w:rPr>
          <w:rFonts w:hint="eastAsia"/>
          <w:lang w:eastAsia="zh-CN"/>
        </w:rPr>
        <w:t>“</w:t>
      </w:r>
      <w:r>
        <w:t>表1-1：</w:t>
      </w:r>
      <w:r>
        <w:rPr>
          <w:rFonts w:eastAsia="宋体"/>
        </w:rPr>
        <w:t>2022</w:t>
      </w:r>
      <w:r>
        <w:t>年农业机械购置补贴项目预算资金支出明细表</w:t>
      </w:r>
      <w:r>
        <w:rPr>
          <w:rFonts w:hint="eastAsia"/>
          <w:lang w:eastAsia="zh-CN"/>
        </w:rPr>
        <w:t>”</w:t>
      </w:r>
      <w:r>
        <w:t>。</w:t>
      </w:r>
    </w:p>
    <w:p>
      <w:pPr>
        <w:spacing w:line="240" w:lineRule="auto"/>
        <w:ind w:firstLine="0" w:firstLineChars="0"/>
        <w:jc w:val="center"/>
        <w:rPr>
          <w:rFonts w:eastAsia="黑体"/>
        </w:rPr>
      </w:pPr>
      <w:r>
        <w:rPr>
          <w:rFonts w:eastAsia="黑体"/>
        </w:rPr>
        <w:t>表1-1：2022年农业机械购置补贴项目预算资金支出明细表</w:t>
      </w:r>
    </w:p>
    <w:p>
      <w:pPr>
        <w:spacing w:line="240" w:lineRule="auto"/>
        <w:ind w:firstLine="420"/>
        <w:jc w:val="right"/>
      </w:pPr>
      <w:r>
        <w:t>单位：万元</w:t>
      </w:r>
    </w:p>
    <w:tbl>
      <w:tblPr>
        <w:tblStyle w:val="20"/>
        <w:tblW w:w="4998" w:type="pct"/>
        <w:tblInd w:w="0" w:type="dxa"/>
        <w:tblLayout w:type="autofit"/>
        <w:tblCellMar>
          <w:top w:w="0" w:type="dxa"/>
          <w:left w:w="0" w:type="dxa"/>
          <w:bottom w:w="0" w:type="dxa"/>
          <w:right w:w="0" w:type="dxa"/>
        </w:tblCellMar>
      </w:tblPr>
      <w:tblGrid>
        <w:gridCol w:w="553"/>
        <w:gridCol w:w="2986"/>
        <w:gridCol w:w="1500"/>
        <w:gridCol w:w="1644"/>
        <w:gridCol w:w="1644"/>
      </w:tblGrid>
      <w:tr>
        <w:tblPrEx>
          <w:tblCellMar>
            <w:top w:w="0" w:type="dxa"/>
            <w:left w:w="0" w:type="dxa"/>
            <w:bottom w:w="0" w:type="dxa"/>
            <w:right w:w="0" w:type="dxa"/>
          </w:tblCellMar>
        </w:tblPrEx>
        <w:trPr>
          <w:trHeight w:val="288" w:hRule="atLeast"/>
        </w:trPr>
        <w:tc>
          <w:tcPr>
            <w:tcW w:w="34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b/>
                <w:bCs/>
              </w:rPr>
            </w:pPr>
            <w:bookmarkStart w:id="28" w:name="_Toc22341"/>
            <w:bookmarkStart w:id="29" w:name="_Toc21771"/>
            <w:r>
              <w:rPr>
                <w:b/>
                <w:bCs/>
                <w:kern w:val="0"/>
                <w:lang w:bidi="ar"/>
              </w:rPr>
              <w:t>序号</w:t>
            </w:r>
          </w:p>
        </w:tc>
        <w:tc>
          <w:tcPr>
            <w:tcW w:w="18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b/>
                <w:bCs/>
              </w:rPr>
            </w:pPr>
            <w:r>
              <w:rPr>
                <w:b/>
                <w:bCs/>
                <w:kern w:val="0"/>
                <w:lang w:bidi="ar"/>
              </w:rPr>
              <w:t>补助类别</w:t>
            </w:r>
          </w:p>
        </w:tc>
        <w:tc>
          <w:tcPr>
            <w:tcW w:w="8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b/>
                <w:bCs/>
              </w:rPr>
            </w:pPr>
            <w:r>
              <w:rPr>
                <w:b/>
                <w:bCs/>
              </w:rPr>
              <w:t>补助台数（台）</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b/>
                <w:bCs/>
              </w:rPr>
            </w:pPr>
            <w:r>
              <w:rPr>
                <w:b/>
                <w:bCs/>
              </w:rPr>
              <w:t>申请预算金额</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b/>
                <w:bCs/>
              </w:rPr>
            </w:pPr>
            <w:r>
              <w:rPr>
                <w:b/>
                <w:bCs/>
                <w:kern w:val="0"/>
                <w:lang w:bidi="ar"/>
              </w:rPr>
              <w:t>实际支出金额</w:t>
            </w:r>
          </w:p>
        </w:tc>
      </w:tr>
      <w:tr>
        <w:tblPrEx>
          <w:tblCellMar>
            <w:top w:w="0" w:type="dxa"/>
            <w:left w:w="0" w:type="dxa"/>
            <w:bottom w:w="0" w:type="dxa"/>
            <w:right w:w="0" w:type="dxa"/>
          </w:tblCellMar>
        </w:tblPrEx>
        <w:trPr>
          <w:trHeight w:val="450" w:hRule="atLeast"/>
        </w:trPr>
        <w:tc>
          <w:tcPr>
            <w:tcW w:w="34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eastAsia="宋体"/>
                <w:kern w:val="0"/>
                <w:lang w:bidi="ar"/>
              </w:rPr>
            </w:pPr>
            <w:r>
              <w:rPr>
                <w:rFonts w:eastAsia="宋体"/>
                <w:kern w:val="0"/>
                <w:lang w:bidi="ar"/>
              </w:rPr>
              <w:t>1</w:t>
            </w:r>
          </w:p>
        </w:tc>
        <w:tc>
          <w:tcPr>
            <w:tcW w:w="18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eastAsia="宋体"/>
              </w:rPr>
            </w:pPr>
            <w:r>
              <w:rPr>
                <w:rFonts w:eastAsia="宋体"/>
              </w:rPr>
              <w:t>补贴农业机械动力机械费用</w:t>
            </w:r>
          </w:p>
        </w:tc>
        <w:tc>
          <w:tcPr>
            <w:tcW w:w="8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eastAsia="宋体"/>
              </w:rPr>
            </w:pPr>
            <w:r>
              <w:rPr>
                <w:rFonts w:eastAsia="宋体"/>
              </w:rPr>
              <w:t>920</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eastAsia="宋体"/>
              </w:rPr>
            </w:pPr>
            <w:r>
              <w:rPr>
                <w:rFonts w:eastAsia="宋体"/>
              </w:rPr>
              <w:t>5065.00</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eastAsia="宋体"/>
              </w:rPr>
            </w:pPr>
            <w:r>
              <w:rPr>
                <w:rFonts w:eastAsia="宋体"/>
              </w:rPr>
              <w:t>5056.13</w:t>
            </w:r>
          </w:p>
        </w:tc>
      </w:tr>
      <w:tr>
        <w:tblPrEx>
          <w:tblCellMar>
            <w:top w:w="0" w:type="dxa"/>
            <w:left w:w="0" w:type="dxa"/>
            <w:bottom w:w="0" w:type="dxa"/>
            <w:right w:w="0" w:type="dxa"/>
          </w:tblCellMar>
        </w:tblPrEx>
        <w:trPr>
          <w:trHeight w:val="401" w:hRule="atLeast"/>
        </w:trPr>
        <w:tc>
          <w:tcPr>
            <w:tcW w:w="34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eastAsia="宋体"/>
              </w:rPr>
            </w:pPr>
            <w:r>
              <w:rPr>
                <w:rFonts w:eastAsia="宋体"/>
                <w:kern w:val="0"/>
                <w:lang w:bidi="ar"/>
              </w:rPr>
              <w:t>2</w:t>
            </w:r>
          </w:p>
        </w:tc>
        <w:tc>
          <w:tcPr>
            <w:tcW w:w="18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eastAsia="宋体"/>
              </w:rPr>
            </w:pPr>
            <w:r>
              <w:rPr>
                <w:rFonts w:eastAsia="宋体"/>
              </w:rPr>
              <w:t>补贴配套机具费用</w:t>
            </w:r>
          </w:p>
        </w:tc>
        <w:tc>
          <w:tcPr>
            <w:tcW w:w="8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eastAsia="宋体"/>
              </w:rPr>
            </w:pPr>
            <w:r>
              <w:rPr>
                <w:rFonts w:eastAsia="宋体"/>
              </w:rPr>
              <w:t>565</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eastAsia="宋体"/>
              </w:rPr>
            </w:pPr>
            <w:r>
              <w:rPr>
                <w:rFonts w:eastAsia="宋体"/>
              </w:rPr>
              <w:t>347.00</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eastAsia="宋体"/>
              </w:rPr>
            </w:pPr>
            <w:r>
              <w:rPr>
                <w:rFonts w:eastAsia="宋体"/>
              </w:rPr>
              <w:t>346.77</w:t>
            </w:r>
          </w:p>
        </w:tc>
      </w:tr>
      <w:tr>
        <w:tblPrEx>
          <w:tblCellMar>
            <w:top w:w="0" w:type="dxa"/>
            <w:left w:w="0" w:type="dxa"/>
            <w:bottom w:w="0" w:type="dxa"/>
            <w:right w:w="0" w:type="dxa"/>
          </w:tblCellMar>
        </w:tblPrEx>
        <w:trPr>
          <w:trHeight w:val="401" w:hRule="atLeast"/>
        </w:trPr>
        <w:tc>
          <w:tcPr>
            <w:tcW w:w="2151"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eastAsia="宋体"/>
              </w:rPr>
            </w:pPr>
            <w:r>
              <w:rPr>
                <w:rFonts w:eastAsia="宋体"/>
              </w:rPr>
              <w:t>合计</w:t>
            </w:r>
          </w:p>
        </w:tc>
        <w:tc>
          <w:tcPr>
            <w:tcW w:w="8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eastAsia="宋体"/>
              </w:rPr>
            </w:pPr>
            <w:r>
              <w:rPr>
                <w:rFonts w:eastAsia="宋体"/>
              </w:rPr>
              <w:t>1485</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eastAsia="宋体"/>
              </w:rPr>
            </w:pPr>
            <w:r>
              <w:rPr>
                <w:rFonts w:eastAsia="宋体"/>
              </w:rPr>
              <w:t>5412.00</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eastAsia="宋体"/>
              </w:rPr>
            </w:pPr>
            <w:r>
              <w:rPr>
                <w:rFonts w:eastAsia="宋体"/>
              </w:rPr>
              <w:t>5402.91</w:t>
            </w:r>
          </w:p>
        </w:tc>
      </w:tr>
      <w:bookmarkEnd w:id="22"/>
      <w:bookmarkEnd w:id="23"/>
      <w:bookmarkEnd w:id="24"/>
      <w:bookmarkEnd w:id="25"/>
      <w:bookmarkEnd w:id="26"/>
      <w:bookmarkEnd w:id="27"/>
      <w:bookmarkEnd w:id="28"/>
      <w:bookmarkEnd w:id="29"/>
    </w:tbl>
    <w:p>
      <w:pPr>
        <w:ind w:firstLine="420"/>
      </w:pPr>
      <w:bookmarkStart w:id="30" w:name="_Toc18887"/>
    </w:p>
    <w:p>
      <w:pPr>
        <w:ind w:firstLine="420"/>
      </w:pPr>
      <w:r>
        <w:t>（3）项目近三年预算及执行情况</w:t>
      </w:r>
    </w:p>
    <w:p>
      <w:pPr>
        <w:ind w:firstLine="420"/>
      </w:pPr>
      <w:r>
        <w:t>20</w:t>
      </w:r>
      <w:r>
        <w:rPr>
          <w:rFonts w:hint="eastAsia"/>
        </w:rPr>
        <w:t>19</w:t>
      </w:r>
      <w:r>
        <w:t>年-20</w:t>
      </w:r>
      <w:r>
        <w:rPr>
          <w:rFonts w:hint="eastAsia"/>
        </w:rPr>
        <w:t>21</w:t>
      </w:r>
      <w:r>
        <w:t>年</w:t>
      </w:r>
      <w:r>
        <w:rPr>
          <w:rFonts w:hint="eastAsia"/>
        </w:rPr>
        <w:t>农业机械购置补贴</w:t>
      </w:r>
      <w:r>
        <w:t>项目预算分别为</w:t>
      </w:r>
      <w:r>
        <w:rPr>
          <w:rFonts w:hint="eastAsia"/>
        </w:rPr>
        <w:t>1804.30</w:t>
      </w:r>
      <w:r>
        <w:t>万元、</w:t>
      </w:r>
      <w:r>
        <w:rPr>
          <w:rFonts w:hint="eastAsia"/>
        </w:rPr>
        <w:t>2200.00</w:t>
      </w:r>
      <w:r>
        <w:t xml:space="preserve">万元和 </w:t>
      </w:r>
      <w:r>
        <w:rPr>
          <w:rFonts w:hint="eastAsia"/>
        </w:rPr>
        <w:t>2700.00</w:t>
      </w:r>
      <w:r>
        <w:t>万元，资金来源均为中央农业生产发展资金，预算执行率分别为</w:t>
      </w:r>
      <w:r>
        <w:rPr>
          <w:rFonts w:hint="eastAsia"/>
        </w:rPr>
        <w:t>99.99%</w:t>
      </w:r>
      <w:r>
        <w:t>、</w:t>
      </w:r>
      <w:r>
        <w:rPr>
          <w:rFonts w:hint="eastAsia"/>
        </w:rPr>
        <w:t>99.99%</w:t>
      </w:r>
      <w:r>
        <w:t>、</w:t>
      </w:r>
      <w:r>
        <w:rPr>
          <w:rFonts w:hint="eastAsia"/>
        </w:rPr>
        <w:t>100.00%</w:t>
      </w:r>
      <w:r>
        <w:t>。具体情况见下表：</w:t>
      </w:r>
    </w:p>
    <w:p>
      <w:pPr>
        <w:ind w:firstLine="0" w:firstLineChars="0"/>
        <w:jc w:val="center"/>
        <w:rPr>
          <w:rFonts w:eastAsia="黑体"/>
        </w:rPr>
      </w:pPr>
      <w:r>
        <w:rPr>
          <w:rFonts w:eastAsia="黑体"/>
        </w:rPr>
        <w:t>表1-2：20</w:t>
      </w:r>
      <w:r>
        <w:rPr>
          <w:rFonts w:hint="eastAsia" w:eastAsia="黑体"/>
        </w:rPr>
        <w:t>19</w:t>
      </w:r>
      <w:r>
        <w:rPr>
          <w:rFonts w:eastAsia="黑体"/>
        </w:rPr>
        <w:t>年-20</w:t>
      </w:r>
      <w:r>
        <w:rPr>
          <w:rFonts w:hint="eastAsia" w:eastAsia="黑体"/>
        </w:rPr>
        <w:t>21</w:t>
      </w:r>
      <w:r>
        <w:rPr>
          <w:rFonts w:eastAsia="黑体"/>
        </w:rPr>
        <w:t>年项目预算及支出情况表（单位：万元）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459"/>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5" w:type="dxa"/>
            <w:vAlign w:val="center"/>
          </w:tcPr>
          <w:p>
            <w:pPr>
              <w:spacing w:line="320" w:lineRule="exact"/>
              <w:ind w:firstLine="0" w:firstLineChars="0"/>
              <w:jc w:val="center"/>
              <w:rPr>
                <w:rFonts w:eastAsia="宋体"/>
                <w:b/>
                <w:bCs/>
              </w:rPr>
            </w:pPr>
            <w:r>
              <w:rPr>
                <w:rFonts w:eastAsia="宋体"/>
                <w:b/>
                <w:bCs/>
              </w:rPr>
              <w:t>年度</w:t>
            </w:r>
          </w:p>
        </w:tc>
        <w:tc>
          <w:tcPr>
            <w:tcW w:w="1459" w:type="dxa"/>
            <w:vAlign w:val="center"/>
          </w:tcPr>
          <w:p>
            <w:pPr>
              <w:spacing w:line="320" w:lineRule="exact"/>
              <w:ind w:firstLine="0" w:firstLineChars="0"/>
              <w:jc w:val="center"/>
              <w:rPr>
                <w:rFonts w:eastAsia="宋体"/>
                <w:b/>
                <w:bCs/>
              </w:rPr>
            </w:pPr>
            <w:r>
              <w:rPr>
                <w:rFonts w:eastAsia="宋体"/>
                <w:b/>
                <w:bCs/>
              </w:rPr>
              <w:t>年初预算数</w:t>
            </w:r>
          </w:p>
        </w:tc>
        <w:tc>
          <w:tcPr>
            <w:tcW w:w="1217" w:type="dxa"/>
            <w:vAlign w:val="center"/>
          </w:tcPr>
          <w:p>
            <w:pPr>
              <w:spacing w:line="320" w:lineRule="exact"/>
              <w:ind w:firstLine="0" w:firstLineChars="0"/>
              <w:jc w:val="center"/>
              <w:rPr>
                <w:rFonts w:eastAsia="宋体"/>
                <w:b/>
                <w:bCs/>
              </w:rPr>
            </w:pPr>
            <w:r>
              <w:rPr>
                <w:rFonts w:eastAsia="宋体"/>
                <w:b/>
                <w:bCs/>
              </w:rPr>
              <w:t>预算调整</w:t>
            </w:r>
          </w:p>
        </w:tc>
        <w:tc>
          <w:tcPr>
            <w:tcW w:w="1217" w:type="dxa"/>
            <w:vAlign w:val="center"/>
          </w:tcPr>
          <w:p>
            <w:pPr>
              <w:spacing w:line="320" w:lineRule="exact"/>
              <w:ind w:firstLine="0" w:firstLineChars="0"/>
              <w:jc w:val="center"/>
              <w:rPr>
                <w:rFonts w:eastAsia="宋体"/>
                <w:b/>
                <w:bCs/>
              </w:rPr>
            </w:pPr>
            <w:r>
              <w:rPr>
                <w:rFonts w:eastAsia="宋体"/>
                <w:b/>
                <w:bCs/>
              </w:rPr>
              <w:t>调整后预算数</w:t>
            </w:r>
          </w:p>
        </w:tc>
        <w:tc>
          <w:tcPr>
            <w:tcW w:w="1218" w:type="dxa"/>
            <w:vAlign w:val="center"/>
          </w:tcPr>
          <w:p>
            <w:pPr>
              <w:widowControl/>
              <w:spacing w:line="320" w:lineRule="exact"/>
              <w:ind w:firstLine="0" w:firstLineChars="0"/>
              <w:jc w:val="center"/>
              <w:rPr>
                <w:rFonts w:eastAsia="宋体"/>
                <w:b/>
                <w:bCs/>
              </w:rPr>
            </w:pPr>
            <w:r>
              <w:rPr>
                <w:rFonts w:eastAsia="宋体"/>
                <w:b/>
                <w:bCs/>
                <w:kern w:val="0"/>
                <w:lang w:bidi="ar"/>
              </w:rPr>
              <w:t>预算调整率</w:t>
            </w:r>
          </w:p>
        </w:tc>
        <w:tc>
          <w:tcPr>
            <w:tcW w:w="1218" w:type="dxa"/>
            <w:vAlign w:val="center"/>
          </w:tcPr>
          <w:p>
            <w:pPr>
              <w:widowControl/>
              <w:spacing w:line="320" w:lineRule="exact"/>
              <w:ind w:firstLine="0" w:firstLineChars="0"/>
              <w:jc w:val="center"/>
              <w:rPr>
                <w:rFonts w:eastAsia="宋体"/>
                <w:b/>
                <w:bCs/>
              </w:rPr>
            </w:pPr>
            <w:r>
              <w:rPr>
                <w:rFonts w:eastAsia="宋体"/>
                <w:b/>
                <w:bCs/>
                <w:kern w:val="0"/>
                <w:lang w:bidi="ar"/>
              </w:rPr>
              <w:t>实际支出数</w:t>
            </w:r>
          </w:p>
        </w:tc>
        <w:tc>
          <w:tcPr>
            <w:tcW w:w="1218" w:type="dxa"/>
            <w:vAlign w:val="center"/>
          </w:tcPr>
          <w:p>
            <w:pPr>
              <w:spacing w:line="320" w:lineRule="exact"/>
              <w:ind w:firstLine="0" w:firstLineChars="0"/>
              <w:jc w:val="center"/>
              <w:rPr>
                <w:rFonts w:eastAsia="宋体"/>
                <w:b/>
                <w:bCs/>
              </w:rPr>
            </w:pPr>
            <w:r>
              <w:rPr>
                <w:rFonts w:eastAsia="宋体"/>
                <w:b/>
                <w:bCs/>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spacing w:line="320" w:lineRule="exact"/>
              <w:ind w:firstLine="0" w:firstLineChars="0"/>
              <w:jc w:val="center"/>
            </w:pPr>
            <w:r>
              <w:t>20</w:t>
            </w:r>
            <w:r>
              <w:rPr>
                <w:rFonts w:hint="eastAsia"/>
              </w:rPr>
              <w:t>19</w:t>
            </w:r>
            <w:r>
              <w:t>年</w:t>
            </w:r>
          </w:p>
        </w:tc>
        <w:tc>
          <w:tcPr>
            <w:tcW w:w="1459" w:type="dxa"/>
          </w:tcPr>
          <w:p>
            <w:pPr>
              <w:spacing w:line="320" w:lineRule="exact"/>
              <w:ind w:firstLine="0" w:firstLineChars="0"/>
              <w:jc w:val="center"/>
            </w:pPr>
            <w:r>
              <w:rPr>
                <w:rFonts w:hint="eastAsia"/>
              </w:rPr>
              <w:t>1804.30</w:t>
            </w:r>
          </w:p>
        </w:tc>
        <w:tc>
          <w:tcPr>
            <w:tcW w:w="1217" w:type="dxa"/>
          </w:tcPr>
          <w:p>
            <w:pPr>
              <w:spacing w:line="320" w:lineRule="exact"/>
              <w:ind w:firstLine="0" w:firstLineChars="0"/>
              <w:jc w:val="center"/>
            </w:pPr>
            <w:r>
              <w:rPr>
                <w:rFonts w:hint="eastAsia"/>
              </w:rPr>
              <w:t>0.00</w:t>
            </w:r>
          </w:p>
        </w:tc>
        <w:tc>
          <w:tcPr>
            <w:tcW w:w="1217" w:type="dxa"/>
          </w:tcPr>
          <w:p>
            <w:pPr>
              <w:spacing w:line="320" w:lineRule="exact"/>
              <w:ind w:firstLine="0" w:firstLineChars="0"/>
              <w:jc w:val="center"/>
            </w:pPr>
            <w:r>
              <w:rPr>
                <w:rFonts w:hint="eastAsia"/>
              </w:rPr>
              <w:t>1804.30</w:t>
            </w:r>
          </w:p>
        </w:tc>
        <w:tc>
          <w:tcPr>
            <w:tcW w:w="1218" w:type="dxa"/>
          </w:tcPr>
          <w:p>
            <w:pPr>
              <w:spacing w:line="320" w:lineRule="exact"/>
              <w:ind w:firstLine="0" w:firstLineChars="0"/>
              <w:jc w:val="center"/>
            </w:pPr>
            <w:r>
              <w:rPr>
                <w:rFonts w:hint="eastAsia"/>
              </w:rPr>
              <w:t>0.00%</w:t>
            </w:r>
          </w:p>
        </w:tc>
        <w:tc>
          <w:tcPr>
            <w:tcW w:w="1218" w:type="dxa"/>
          </w:tcPr>
          <w:p>
            <w:pPr>
              <w:spacing w:line="320" w:lineRule="exact"/>
              <w:ind w:firstLine="0" w:firstLineChars="0"/>
              <w:jc w:val="center"/>
            </w:pPr>
            <w:r>
              <w:rPr>
                <w:rFonts w:hint="eastAsia"/>
              </w:rPr>
              <w:t>1804.27</w:t>
            </w:r>
          </w:p>
        </w:tc>
        <w:tc>
          <w:tcPr>
            <w:tcW w:w="1218" w:type="dxa"/>
          </w:tcPr>
          <w:p>
            <w:pPr>
              <w:spacing w:line="320" w:lineRule="exact"/>
              <w:ind w:firstLine="0" w:firstLineChars="0"/>
              <w:jc w:val="center"/>
            </w:pPr>
            <w:r>
              <w:rPr>
                <w:rFonts w:hint="eastAsia"/>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spacing w:line="320" w:lineRule="exact"/>
              <w:ind w:firstLine="0" w:firstLineChars="0"/>
              <w:jc w:val="center"/>
            </w:pPr>
            <w:r>
              <w:t>202</w:t>
            </w:r>
            <w:r>
              <w:rPr>
                <w:rFonts w:hint="eastAsia"/>
              </w:rPr>
              <w:t>0</w:t>
            </w:r>
            <w:r>
              <w:t>年</w:t>
            </w:r>
          </w:p>
        </w:tc>
        <w:tc>
          <w:tcPr>
            <w:tcW w:w="1459" w:type="dxa"/>
          </w:tcPr>
          <w:p>
            <w:pPr>
              <w:spacing w:line="320" w:lineRule="exact"/>
              <w:ind w:firstLine="0" w:firstLineChars="0"/>
              <w:jc w:val="center"/>
            </w:pPr>
            <w:r>
              <w:rPr>
                <w:rFonts w:hint="eastAsia"/>
              </w:rPr>
              <w:t>2200.00</w:t>
            </w:r>
          </w:p>
        </w:tc>
        <w:tc>
          <w:tcPr>
            <w:tcW w:w="1217" w:type="dxa"/>
          </w:tcPr>
          <w:p>
            <w:pPr>
              <w:spacing w:line="320" w:lineRule="exact"/>
              <w:ind w:firstLine="0" w:firstLineChars="0"/>
              <w:jc w:val="center"/>
            </w:pPr>
            <w:r>
              <w:rPr>
                <w:rFonts w:hint="eastAsia"/>
              </w:rPr>
              <w:t>0.00</w:t>
            </w:r>
          </w:p>
        </w:tc>
        <w:tc>
          <w:tcPr>
            <w:tcW w:w="1217" w:type="dxa"/>
          </w:tcPr>
          <w:p>
            <w:pPr>
              <w:spacing w:line="320" w:lineRule="exact"/>
              <w:ind w:firstLine="0" w:firstLineChars="0"/>
              <w:jc w:val="center"/>
            </w:pPr>
            <w:r>
              <w:rPr>
                <w:rFonts w:hint="eastAsia"/>
              </w:rPr>
              <w:t>2200.00</w:t>
            </w:r>
          </w:p>
        </w:tc>
        <w:tc>
          <w:tcPr>
            <w:tcW w:w="1218" w:type="dxa"/>
          </w:tcPr>
          <w:p>
            <w:pPr>
              <w:spacing w:line="320" w:lineRule="exact"/>
              <w:ind w:firstLine="0" w:firstLineChars="0"/>
              <w:jc w:val="center"/>
            </w:pPr>
            <w:r>
              <w:rPr>
                <w:rFonts w:hint="eastAsia"/>
              </w:rPr>
              <w:t>0.00%</w:t>
            </w:r>
          </w:p>
        </w:tc>
        <w:tc>
          <w:tcPr>
            <w:tcW w:w="1218" w:type="dxa"/>
          </w:tcPr>
          <w:p>
            <w:pPr>
              <w:spacing w:line="320" w:lineRule="exact"/>
              <w:ind w:firstLine="0" w:firstLineChars="0"/>
              <w:jc w:val="center"/>
            </w:pPr>
            <w:r>
              <w:rPr>
                <w:rFonts w:hint="eastAsia"/>
              </w:rPr>
              <w:t>2199.91</w:t>
            </w:r>
          </w:p>
        </w:tc>
        <w:tc>
          <w:tcPr>
            <w:tcW w:w="1218" w:type="dxa"/>
          </w:tcPr>
          <w:p>
            <w:pPr>
              <w:spacing w:line="320" w:lineRule="exact"/>
              <w:ind w:firstLine="0" w:firstLineChars="0"/>
              <w:jc w:val="center"/>
            </w:pPr>
            <w:r>
              <w:rPr>
                <w:rFonts w:hint="eastAsia"/>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75" w:type="dxa"/>
          </w:tcPr>
          <w:p>
            <w:pPr>
              <w:spacing w:line="320" w:lineRule="exact"/>
              <w:ind w:firstLine="0" w:firstLineChars="0"/>
              <w:jc w:val="center"/>
            </w:pPr>
            <w:r>
              <w:t>202</w:t>
            </w:r>
            <w:r>
              <w:rPr>
                <w:rFonts w:hint="eastAsia"/>
              </w:rPr>
              <w:t>1</w:t>
            </w:r>
            <w:r>
              <w:t>年</w:t>
            </w:r>
          </w:p>
        </w:tc>
        <w:tc>
          <w:tcPr>
            <w:tcW w:w="1459" w:type="dxa"/>
          </w:tcPr>
          <w:p>
            <w:pPr>
              <w:spacing w:line="320" w:lineRule="exact"/>
              <w:ind w:firstLine="0" w:firstLineChars="0"/>
              <w:jc w:val="center"/>
            </w:pPr>
            <w:r>
              <w:rPr>
                <w:rFonts w:hint="eastAsia"/>
              </w:rPr>
              <w:t>2700.00</w:t>
            </w:r>
          </w:p>
        </w:tc>
        <w:tc>
          <w:tcPr>
            <w:tcW w:w="1217" w:type="dxa"/>
          </w:tcPr>
          <w:p>
            <w:pPr>
              <w:spacing w:line="320" w:lineRule="exact"/>
              <w:ind w:firstLine="0" w:firstLineChars="0"/>
              <w:jc w:val="center"/>
            </w:pPr>
            <w:r>
              <w:rPr>
                <w:rFonts w:hint="eastAsia"/>
              </w:rPr>
              <w:t>0.00</w:t>
            </w:r>
          </w:p>
        </w:tc>
        <w:tc>
          <w:tcPr>
            <w:tcW w:w="1217" w:type="dxa"/>
          </w:tcPr>
          <w:p>
            <w:pPr>
              <w:spacing w:line="320" w:lineRule="exact"/>
              <w:ind w:firstLine="0" w:firstLineChars="0"/>
              <w:jc w:val="center"/>
            </w:pPr>
            <w:r>
              <w:rPr>
                <w:rFonts w:hint="eastAsia"/>
              </w:rPr>
              <w:t>2700.00</w:t>
            </w:r>
          </w:p>
        </w:tc>
        <w:tc>
          <w:tcPr>
            <w:tcW w:w="1218" w:type="dxa"/>
          </w:tcPr>
          <w:p>
            <w:pPr>
              <w:spacing w:line="320" w:lineRule="exact"/>
              <w:ind w:firstLine="0" w:firstLineChars="0"/>
              <w:jc w:val="center"/>
            </w:pPr>
            <w:r>
              <w:rPr>
                <w:rFonts w:hint="eastAsia"/>
              </w:rPr>
              <w:t>0.00%</w:t>
            </w:r>
          </w:p>
        </w:tc>
        <w:tc>
          <w:tcPr>
            <w:tcW w:w="1218" w:type="dxa"/>
          </w:tcPr>
          <w:p>
            <w:pPr>
              <w:spacing w:line="320" w:lineRule="exact"/>
              <w:ind w:firstLine="0" w:firstLineChars="0"/>
              <w:jc w:val="center"/>
            </w:pPr>
            <w:r>
              <w:rPr>
                <w:rFonts w:hint="eastAsia"/>
              </w:rPr>
              <w:t>2700.00</w:t>
            </w:r>
          </w:p>
        </w:tc>
        <w:tc>
          <w:tcPr>
            <w:tcW w:w="1218" w:type="dxa"/>
          </w:tcPr>
          <w:p>
            <w:pPr>
              <w:spacing w:line="320" w:lineRule="exact"/>
              <w:ind w:firstLine="0" w:firstLineChars="0"/>
              <w:jc w:val="center"/>
            </w:pPr>
            <w:r>
              <w:rPr>
                <w:rFonts w:hint="eastAsia"/>
              </w:rPr>
              <w:t>100.00%</w:t>
            </w:r>
          </w:p>
        </w:tc>
      </w:tr>
    </w:tbl>
    <w:p>
      <w:pPr>
        <w:ind w:firstLine="420"/>
      </w:pPr>
    </w:p>
    <w:p>
      <w:pPr>
        <w:ind w:firstLine="420"/>
      </w:pPr>
      <w:r>
        <w:t>总体而言，从项目近三年预算安排、调整、执行情况看，项目预算</w:t>
      </w:r>
      <w:r>
        <w:rPr>
          <w:rFonts w:hint="eastAsia"/>
        </w:rPr>
        <w:t>无</w:t>
      </w:r>
      <w:r>
        <w:t>调整，执行率良好</w:t>
      </w:r>
      <w:r>
        <w:rPr>
          <w:rFonts w:hint="eastAsia"/>
        </w:rPr>
        <w:t>，由于宣传到位，且每年需求变大，导致项目预算逐年递增</w:t>
      </w:r>
      <w:r>
        <w:t>。</w:t>
      </w:r>
    </w:p>
    <w:p>
      <w:pPr>
        <w:pStyle w:val="2"/>
        <w:ind w:firstLine="422"/>
        <w:rPr>
          <w:rFonts w:ascii="Times New Roman" w:hAnsi="Times New Roman"/>
        </w:rPr>
      </w:pPr>
      <w:r>
        <w:rPr>
          <w:rFonts w:ascii="Times New Roman" w:hAnsi="Times New Roman"/>
        </w:rPr>
        <w:t>5.项目组织及管理情况</w:t>
      </w:r>
    </w:p>
    <w:p>
      <w:pPr>
        <w:ind w:firstLine="420"/>
      </w:pPr>
      <w:r>
        <w:t>（1）项目组织情况</w:t>
      </w:r>
    </w:p>
    <w:p>
      <w:pPr>
        <w:ind w:firstLine="420"/>
      </w:pPr>
      <w:r>
        <w:t>项目主管单位及实施单位：</w:t>
      </w:r>
      <w:r>
        <w:rPr>
          <w:rFonts w:eastAsia="宋体"/>
        </w:rPr>
        <w:t>巴楚县农业农村机械化发展中心</w:t>
      </w:r>
      <w:r>
        <w:t>，负责项目实施方案编制、项目管理、对申请补助的机械进行信息录入、资料审核、机具核验、系统公示、在乡村两级进行公示，根据上报及审定的资料编制资金发放明细表及报告上报巴楚县财政局。</w:t>
      </w:r>
    </w:p>
    <w:p>
      <w:pPr>
        <w:ind w:firstLine="420"/>
      </w:pPr>
      <w:r>
        <w:t>（2）项目管理情况</w:t>
      </w:r>
    </w:p>
    <w:p>
      <w:pPr>
        <w:ind w:firstLine="420"/>
      </w:pPr>
      <w:r>
        <w:rPr>
          <w:rFonts w:eastAsia="宋体"/>
        </w:rPr>
        <w:t>巴楚县农业农村机械</w:t>
      </w:r>
      <w:r>
        <w:t>化发展中心在接到《关于印发&lt;新疆维吾尔自治区农业机械报废更新补贴实施方案&gt;的通知》（新农机〔2020〕151号）之后，编制《巴楚县农业机械报废更新补贴实施方案》《巴楚县2022年农机购置与应用补贴试点方案》，对项目补贴机具类型、补贴标准、兑付方式、办理流程进行规定，并由领导小组统一协调调度。由购机者登陆新疆</w:t>
      </w:r>
      <w:r>
        <w:rPr>
          <w:rFonts w:hint="eastAsia"/>
          <w:lang w:eastAsia="zh-CN"/>
        </w:rPr>
        <w:t>维吾尔</w:t>
      </w:r>
      <w:bookmarkStart w:id="106" w:name="_GoBack"/>
      <w:bookmarkEnd w:id="106"/>
      <w:r>
        <w:t>自治区农机购置与应用补贴APP提交个人及机具相关补贴信息，巴楚县农业农村机械化发展中心对申请补助的机械进行信息录入、资料审核和机具核验，对报废机具进行注销登记，对购置机具进行二维码和物联网终端安装，与购机者现场信息确认后，对符合条件可以受理的进行系统公示等程序，并在乡村两级进行公示，公示期满无异议后，向县财政局提供相关报账资料申请拨付资金，经县财经委审批通过，由县财政局执行国库支付。</w:t>
      </w:r>
    </w:p>
    <w:p>
      <w:pPr>
        <w:ind w:firstLine="420"/>
      </w:pPr>
      <w:r>
        <w:t>（3）项目财务管理情况</w:t>
      </w:r>
    </w:p>
    <w:p>
      <w:pPr>
        <w:ind w:firstLine="420"/>
      </w:pPr>
      <w:r>
        <w:rPr>
          <w:rFonts w:eastAsia="宋体"/>
        </w:rPr>
        <w:t>巴楚县农业农村机械化发展中心严格按照《巴楚县农业农村机械化发展中心预算管理内部控制制度》《巴楚县农业农村机械化发展中心支出管理制度》，采用国库集中支付方式，由巴楚县农业农村机械化发展中心根据审定材料</w:t>
      </w:r>
      <w:r>
        <w:t>向县财政局提交资金申请报告和资金申请汇总表，经县财经委审批通过，通过国库集中支付的方式将补贴资金拨付至巴楚县农业农村机械化发展中心发放过渡账户，巴楚县农业农村机械化发展中心按公示无误的补贴情况将补贴资金发放至农户账户或合作社账户，保障专款专用，发挥农业机械购置补贴专项资金的效益。</w:t>
      </w:r>
    </w:p>
    <w:p>
      <w:pPr>
        <w:pStyle w:val="6"/>
        <w:ind w:firstLine="482"/>
        <w:rPr>
          <w:rFonts w:ascii="Times New Roman" w:hAnsi="Times New Roman"/>
        </w:rPr>
      </w:pPr>
      <w:r>
        <w:rPr>
          <w:rFonts w:ascii="Times New Roman" w:hAnsi="Times New Roman"/>
        </w:rPr>
        <w:t>（二）项目绩效目标</w:t>
      </w:r>
      <w:bookmarkEnd w:id="18"/>
      <w:bookmarkEnd w:id="30"/>
    </w:p>
    <w:p>
      <w:pPr>
        <w:pStyle w:val="2"/>
        <w:ind w:firstLine="422"/>
        <w:rPr>
          <w:rFonts w:ascii="Times New Roman" w:hAnsi="Times New Roman"/>
        </w:rPr>
      </w:pPr>
      <w:r>
        <w:rPr>
          <w:rFonts w:ascii="Times New Roman" w:hAnsi="Times New Roman"/>
        </w:rPr>
        <w:t>1.项目绩效总目标</w:t>
      </w:r>
    </w:p>
    <w:p>
      <w:pPr>
        <w:ind w:firstLine="420"/>
      </w:pPr>
      <w:r>
        <w:t>开展农机购置及应用补贴，根据中央财政补贴的机具种类范围15大类42个小类155个品目，为巴楚县各乡镇符合补贴条件的1485台农机机具</w:t>
      </w:r>
      <w:r>
        <w:rPr>
          <w:rFonts w:hint="eastAsia"/>
          <w:lang w:eastAsia="zh-CN"/>
        </w:rPr>
        <w:t>（</w:t>
      </w:r>
      <w:r>
        <w:t>920台农业动力机械和565台配套机具</w:t>
      </w:r>
      <w:r>
        <w:rPr>
          <w:rFonts w:hint="eastAsia"/>
          <w:lang w:eastAsia="zh-CN"/>
        </w:rPr>
        <w:t>）</w:t>
      </w:r>
      <w:r>
        <w:t>进行补贴，享受补贴农户1149户。通过该项目的实施，农业机械化生产社会化服务水平稳步提升，并持续促进农机科技进步。</w:t>
      </w:r>
    </w:p>
    <w:p>
      <w:pPr>
        <w:pStyle w:val="2"/>
        <w:ind w:firstLine="422"/>
        <w:rPr>
          <w:rFonts w:ascii="Times New Roman" w:hAnsi="Times New Roman"/>
        </w:rPr>
      </w:pPr>
      <w:r>
        <w:rPr>
          <w:rFonts w:ascii="Times New Roman" w:hAnsi="Times New Roman"/>
        </w:rPr>
        <w:t>2.阶段性目标</w:t>
      </w:r>
    </w:p>
    <w:p>
      <w:pPr>
        <w:ind w:firstLine="420"/>
      </w:pPr>
      <w:r>
        <w:t>根据《项目支出绩效评价管理办法》（财预〔2020〕10号）的规定，结合项目相关信息，评价小组对原有项目年度目标进行完善后，将年度目标细化分解为个性指标，与文件下发的共性指标共同构成该项目三级指标体系，经与项目单位沟通后，最终确定该项目个性目标如下：</w:t>
      </w:r>
    </w:p>
    <w:p>
      <w:pPr>
        <w:ind w:firstLine="422"/>
        <w:rPr>
          <w:b/>
          <w:bCs/>
        </w:rPr>
      </w:pPr>
      <w:r>
        <w:rPr>
          <w:b/>
          <w:bCs/>
        </w:rPr>
        <w:t>（1）项目产出目标</w:t>
      </w:r>
    </w:p>
    <w:p>
      <w:pPr>
        <w:ind w:firstLine="420"/>
      </w:pPr>
      <w:r>
        <w:t>①数量指标</w:t>
      </w:r>
    </w:p>
    <w:p>
      <w:pPr>
        <w:ind w:firstLine="420"/>
      </w:pPr>
      <w:r>
        <w:rPr>
          <w:rFonts w:hint="eastAsia"/>
          <w:lang w:eastAsia="zh-CN"/>
        </w:rPr>
        <w:t>“</w:t>
      </w:r>
      <w:r>
        <w:t>C11补贴农业动力机械数量</w:t>
      </w:r>
      <w:r>
        <w:rPr>
          <w:rFonts w:hint="eastAsia"/>
          <w:lang w:eastAsia="zh-CN"/>
        </w:rPr>
        <w:t>”</w:t>
      </w:r>
      <w:r>
        <w:t>指标，预期指标值为大于等于920台。</w:t>
      </w:r>
    </w:p>
    <w:p>
      <w:pPr>
        <w:ind w:firstLine="420"/>
      </w:pPr>
      <w:r>
        <w:rPr>
          <w:rFonts w:hint="eastAsia"/>
          <w:lang w:eastAsia="zh-CN"/>
        </w:rPr>
        <w:t>“</w:t>
      </w:r>
      <w:r>
        <w:t>C12补贴配套机具数量</w:t>
      </w:r>
      <w:r>
        <w:rPr>
          <w:rFonts w:hint="eastAsia"/>
          <w:lang w:eastAsia="zh-CN"/>
        </w:rPr>
        <w:t>”</w:t>
      </w:r>
      <w:r>
        <w:t>指标，预期指标值为大于等于565台。</w:t>
      </w:r>
    </w:p>
    <w:p>
      <w:pPr>
        <w:ind w:firstLine="420"/>
      </w:pPr>
      <w:r>
        <w:rPr>
          <w:rFonts w:hint="eastAsia"/>
          <w:lang w:eastAsia="zh-CN"/>
        </w:rPr>
        <w:t>“</w:t>
      </w:r>
      <w:r>
        <w:t>C13补开展农机购置与应用补贴试点数量</w:t>
      </w:r>
      <w:r>
        <w:rPr>
          <w:rFonts w:hint="eastAsia"/>
          <w:lang w:eastAsia="zh-CN"/>
        </w:rPr>
        <w:t>”</w:t>
      </w:r>
      <w:r>
        <w:t>指标，预期指标值为大于等于1个。</w:t>
      </w:r>
    </w:p>
    <w:p>
      <w:pPr>
        <w:ind w:firstLine="420"/>
      </w:pPr>
      <w:r>
        <w:t>②质量指标</w:t>
      </w:r>
    </w:p>
    <w:p>
      <w:pPr>
        <w:ind w:firstLine="420"/>
      </w:pPr>
      <w:r>
        <w:rPr>
          <w:rFonts w:hint="eastAsia"/>
          <w:lang w:eastAsia="zh-CN"/>
        </w:rPr>
        <w:t>“</w:t>
      </w:r>
      <w:r>
        <w:t>C21补贴标准达标率</w:t>
      </w:r>
      <w:r>
        <w:rPr>
          <w:rFonts w:hint="eastAsia"/>
          <w:lang w:eastAsia="zh-CN"/>
        </w:rPr>
        <w:t>”</w:t>
      </w:r>
      <w:r>
        <w:t>指标，预期指标值为100.00%。</w:t>
      </w:r>
    </w:p>
    <w:p>
      <w:pPr>
        <w:ind w:firstLine="420"/>
      </w:pPr>
      <w:r>
        <w:t>③时效指标</w:t>
      </w:r>
    </w:p>
    <w:p>
      <w:pPr>
        <w:ind w:firstLine="420"/>
      </w:pPr>
      <w:r>
        <w:rPr>
          <w:rFonts w:hint="eastAsia"/>
          <w:lang w:eastAsia="zh-CN"/>
        </w:rPr>
        <w:t>“</w:t>
      </w:r>
      <w:r>
        <w:t>C31资金支付及时率</w:t>
      </w:r>
      <w:r>
        <w:rPr>
          <w:rFonts w:hint="eastAsia"/>
          <w:lang w:eastAsia="zh-CN"/>
        </w:rPr>
        <w:t>”</w:t>
      </w:r>
      <w:r>
        <w:t>指标，预期指标值为100.00%。</w:t>
      </w:r>
    </w:p>
    <w:p>
      <w:pPr>
        <w:ind w:firstLine="420"/>
      </w:pPr>
      <w:r>
        <w:rPr>
          <w:rFonts w:hint="eastAsia"/>
          <w:lang w:eastAsia="zh-CN"/>
        </w:rPr>
        <w:t>“</w:t>
      </w:r>
      <w:r>
        <w:t>C32项目完成时间</w:t>
      </w:r>
      <w:r>
        <w:rPr>
          <w:rFonts w:hint="eastAsia"/>
          <w:lang w:eastAsia="zh-CN"/>
        </w:rPr>
        <w:t>”</w:t>
      </w:r>
      <w:r>
        <w:t>指标，预期指标值为2022年12月底前。</w:t>
      </w:r>
    </w:p>
    <w:p>
      <w:pPr>
        <w:ind w:firstLine="420"/>
      </w:pPr>
      <w:r>
        <w:t>④成本指标</w:t>
      </w:r>
    </w:p>
    <w:p>
      <w:pPr>
        <w:ind w:firstLine="420"/>
      </w:pPr>
      <w:r>
        <w:rPr>
          <w:rFonts w:hint="eastAsia"/>
          <w:lang w:eastAsia="zh-CN"/>
        </w:rPr>
        <w:t>“</w:t>
      </w:r>
      <w:r>
        <w:t>C41补贴农业机械动力机械费用</w:t>
      </w:r>
      <w:r>
        <w:rPr>
          <w:rFonts w:hint="eastAsia"/>
          <w:lang w:eastAsia="zh-CN"/>
        </w:rPr>
        <w:t>”</w:t>
      </w:r>
      <w:r>
        <w:t>指标，预期指标值为小于等于5065.00万元。</w:t>
      </w:r>
    </w:p>
    <w:p>
      <w:pPr>
        <w:ind w:firstLine="420"/>
      </w:pPr>
      <w:r>
        <w:rPr>
          <w:rFonts w:hint="eastAsia"/>
          <w:lang w:eastAsia="zh-CN"/>
        </w:rPr>
        <w:t>“</w:t>
      </w:r>
      <w:r>
        <w:t>C42补贴配套机具费用</w:t>
      </w:r>
      <w:r>
        <w:rPr>
          <w:rFonts w:hint="eastAsia"/>
          <w:lang w:eastAsia="zh-CN"/>
        </w:rPr>
        <w:t>”</w:t>
      </w:r>
      <w:r>
        <w:t>指标，预期指标值为小于等于347.00万元。</w:t>
      </w:r>
    </w:p>
    <w:p>
      <w:pPr>
        <w:ind w:firstLine="420"/>
      </w:pPr>
      <w:r>
        <w:t>（2）项目效益目标</w:t>
      </w:r>
    </w:p>
    <w:p>
      <w:pPr>
        <w:ind w:firstLine="420"/>
      </w:pPr>
      <w:r>
        <w:t>①社会效益指标</w:t>
      </w:r>
    </w:p>
    <w:p>
      <w:pPr>
        <w:ind w:firstLine="420"/>
      </w:pPr>
      <w:r>
        <w:rPr>
          <w:rFonts w:hint="eastAsia"/>
          <w:lang w:eastAsia="zh-CN"/>
        </w:rPr>
        <w:t>“</w:t>
      </w:r>
      <w:r>
        <w:t>D11提高农业机械化生产和社会化服务水平</w:t>
      </w:r>
      <w:r>
        <w:rPr>
          <w:rFonts w:hint="eastAsia"/>
          <w:lang w:eastAsia="zh-CN"/>
        </w:rPr>
        <w:t>”</w:t>
      </w:r>
      <w:r>
        <w:t>指标，预期指标值为有效提高。</w:t>
      </w:r>
    </w:p>
    <w:p>
      <w:pPr>
        <w:ind w:firstLine="420"/>
      </w:pPr>
      <w:r>
        <w:t>②可持续影响</w:t>
      </w:r>
    </w:p>
    <w:p>
      <w:pPr>
        <w:ind w:firstLine="420"/>
      </w:pPr>
      <w:r>
        <w:rPr>
          <w:rFonts w:hint="eastAsia"/>
          <w:lang w:eastAsia="zh-CN"/>
        </w:rPr>
        <w:t>“</w:t>
      </w:r>
      <w:r>
        <w:t>D21促进农机科技进步</w:t>
      </w:r>
      <w:r>
        <w:rPr>
          <w:rFonts w:hint="eastAsia"/>
          <w:lang w:eastAsia="zh-CN"/>
        </w:rPr>
        <w:t>”</w:t>
      </w:r>
      <w:r>
        <w:t>指标，预期指标值为持续促进。</w:t>
      </w:r>
    </w:p>
    <w:p>
      <w:pPr>
        <w:ind w:firstLine="420"/>
      </w:pPr>
      <w:r>
        <w:t>（3）</w:t>
      </w:r>
      <w:r>
        <w:rPr>
          <w:lang w:eastAsia="zh-Hans"/>
        </w:rPr>
        <w:t>满意度目标</w:t>
      </w:r>
    </w:p>
    <w:p>
      <w:pPr>
        <w:ind w:firstLine="420"/>
      </w:pPr>
      <w:r>
        <w:t>①满意度指标</w:t>
      </w:r>
    </w:p>
    <w:p>
      <w:pPr>
        <w:ind w:firstLine="420"/>
      </w:pPr>
      <w:r>
        <w:rPr>
          <w:rFonts w:hint="eastAsia"/>
          <w:lang w:eastAsia="zh-CN"/>
        </w:rPr>
        <w:t>“</w:t>
      </w:r>
      <w:r>
        <w:t>D31受益农户满意度</w:t>
      </w:r>
      <w:r>
        <w:rPr>
          <w:rFonts w:hint="eastAsia"/>
          <w:lang w:eastAsia="zh-CN"/>
        </w:rPr>
        <w:t>”</w:t>
      </w:r>
      <w:r>
        <w:t>指标，预期指标值为大于等于95.00%。</w:t>
      </w:r>
    </w:p>
    <w:p>
      <w:pPr>
        <w:pStyle w:val="5"/>
        <w:spacing w:line="360" w:lineRule="auto"/>
        <w:ind w:firstLine="482"/>
        <w:rPr>
          <w:rFonts w:ascii="Times New Roman" w:hAnsi="Times New Roman"/>
        </w:rPr>
      </w:pPr>
      <w:bookmarkStart w:id="31" w:name="_Toc68364660"/>
      <w:bookmarkStart w:id="32" w:name="_Toc19431"/>
      <w:r>
        <w:rPr>
          <w:rFonts w:ascii="Times New Roman" w:hAnsi="Times New Roman"/>
        </w:rPr>
        <w:t>二、绩效评价工作开展情况</w:t>
      </w:r>
      <w:bookmarkEnd w:id="31"/>
      <w:bookmarkEnd w:id="32"/>
    </w:p>
    <w:p>
      <w:pPr>
        <w:pStyle w:val="6"/>
        <w:ind w:firstLine="482"/>
        <w:rPr>
          <w:rFonts w:ascii="Times New Roman" w:hAnsi="Times New Roman"/>
        </w:rPr>
      </w:pPr>
      <w:bookmarkStart w:id="33" w:name="_Toc68364661"/>
      <w:bookmarkStart w:id="34" w:name="_Toc18111"/>
      <w:r>
        <w:rPr>
          <w:rFonts w:ascii="Times New Roman" w:hAnsi="Times New Roman"/>
        </w:rPr>
        <w:t>（一）绩效评价目的、对象和范围</w:t>
      </w:r>
      <w:bookmarkEnd w:id="33"/>
      <w:bookmarkEnd w:id="34"/>
    </w:p>
    <w:p>
      <w:pPr>
        <w:pStyle w:val="2"/>
        <w:ind w:firstLine="422"/>
        <w:rPr>
          <w:rFonts w:ascii="Times New Roman" w:hAnsi="Times New Roman"/>
        </w:rPr>
      </w:pPr>
      <w:r>
        <w:rPr>
          <w:rFonts w:ascii="Times New Roman" w:hAnsi="Times New Roman"/>
        </w:rPr>
        <w:t>1.绩效评价目的</w:t>
      </w:r>
    </w:p>
    <w:p>
      <w:pPr>
        <w:ind w:firstLine="420"/>
      </w:pPr>
      <w:r>
        <w:t>本次绩效评价遵循财政部《项目支出绩效评价管理办法》（财预〔2020〕10号）和自治区财政厅《自治区财政支出绩效评价管理暂行办法》（新财预〔2018〕189号）等相关政策文件与规定，旨在评价财政项目实施前期、过程及效果，对财政项目支出的经济性、效率性、效益性和公平性进行客观、公正的测量、分析和评判。</w:t>
      </w:r>
    </w:p>
    <w:p>
      <w:pPr>
        <w:ind w:firstLine="420"/>
      </w:pPr>
      <w: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2"/>
        <w:ind w:firstLine="422"/>
        <w:rPr>
          <w:rFonts w:ascii="Times New Roman" w:hAnsi="Times New Roman"/>
        </w:rPr>
      </w:pPr>
      <w:r>
        <w:rPr>
          <w:rFonts w:ascii="Times New Roman" w:hAnsi="Times New Roman"/>
        </w:rPr>
        <w:t>2.绩效评价对象</w:t>
      </w:r>
    </w:p>
    <w:p>
      <w:pPr>
        <w:ind w:firstLine="420"/>
      </w:pPr>
      <w:r>
        <w:t>本次绩效评价的对象为2022年农业机械</w:t>
      </w:r>
      <w:r>
        <w:rPr>
          <w:rFonts w:eastAsia="宋体"/>
        </w:rPr>
        <w:t>购置补贴项目</w:t>
      </w:r>
      <w:r>
        <w:t>，主要评价该项目的投入、产出及效益。</w:t>
      </w:r>
    </w:p>
    <w:p>
      <w:pPr>
        <w:pStyle w:val="2"/>
        <w:ind w:firstLine="422"/>
        <w:rPr>
          <w:rFonts w:ascii="Times New Roman" w:hAnsi="Times New Roman"/>
        </w:rPr>
      </w:pPr>
      <w:r>
        <w:rPr>
          <w:rFonts w:ascii="Times New Roman" w:hAnsi="Times New Roman"/>
        </w:rPr>
        <w:t>3.绩效评价范围</w:t>
      </w:r>
    </w:p>
    <w:p>
      <w:pPr>
        <w:ind w:firstLine="420"/>
      </w:pPr>
      <w:bookmarkStart w:id="35" w:name="_Toc68364662"/>
      <w:r>
        <w:t>本次绩效评价范围主要围绕项目决策情况、资金管理和使用情况、相关管理制度办法的健全性及执行情况、实现的产出情况、取得的效益情况以及其他相关内容。</w:t>
      </w:r>
    </w:p>
    <w:p>
      <w:pPr>
        <w:pStyle w:val="2"/>
        <w:ind w:firstLine="422"/>
        <w:rPr>
          <w:rFonts w:ascii="Times New Roman" w:hAnsi="Times New Roman"/>
        </w:rPr>
      </w:pPr>
      <w:r>
        <w:rPr>
          <w:rFonts w:ascii="Times New Roman" w:hAnsi="Times New Roman"/>
        </w:rPr>
        <w:t>4.绩效评价时段</w:t>
      </w:r>
    </w:p>
    <w:p>
      <w:pPr>
        <w:ind w:firstLine="420"/>
      </w:pPr>
      <w:bookmarkStart w:id="36" w:name="_Toc8255"/>
      <w:r>
        <w:t>本次绩效评价工作的评价时段为：2022年1月1日至2022年12月31日。</w:t>
      </w:r>
    </w:p>
    <w:p>
      <w:pPr>
        <w:pStyle w:val="6"/>
        <w:ind w:firstLine="482"/>
        <w:rPr>
          <w:rFonts w:ascii="Times New Roman" w:hAnsi="Times New Roman"/>
        </w:rPr>
      </w:pPr>
      <w:r>
        <w:rPr>
          <w:rFonts w:ascii="Times New Roman" w:hAnsi="Times New Roman"/>
        </w:rPr>
        <w:t>（二）绩效评价原则、评价指标体系、评价方法评价标准</w:t>
      </w:r>
      <w:bookmarkEnd w:id="35"/>
      <w:bookmarkEnd w:id="36"/>
    </w:p>
    <w:p>
      <w:pPr>
        <w:pStyle w:val="2"/>
        <w:ind w:firstLine="422"/>
        <w:rPr>
          <w:rFonts w:ascii="Times New Roman" w:hAnsi="Times New Roman"/>
        </w:rPr>
      </w:pPr>
      <w:r>
        <w:rPr>
          <w:rFonts w:ascii="Times New Roman" w:hAnsi="Times New Roman"/>
        </w:rPr>
        <w:t>1. 绩效评价原则</w:t>
      </w:r>
    </w:p>
    <w:p>
      <w:pPr>
        <w:ind w:firstLine="420"/>
      </w:pPr>
      <w:r>
        <w:t>依据《中华人民共和国预算法》《中共中央国务院关于全面实施预算绩效管理的意见》（中发〔2018〕34号）、《项目支出绩效评价管理办法》（财预〔2020〕10号）、《自治区党委</w:t>
      </w:r>
      <w:r>
        <w:rPr>
          <w:rFonts w:hint="eastAsia"/>
          <w:lang w:val="en-US" w:eastAsia="zh-CN"/>
        </w:rPr>
        <w:t xml:space="preserve"> </w:t>
      </w:r>
      <w:r>
        <w:t>自治区人民政府关于全面实施预算绩效管理的实施意见》（新党发〔2018〕30号）、《自治区全面实施预算绩效管理的工作方案》（新财预〔2018〕158号）、《自治区财政支出绩效评价管理暂行办法》（新财预〔2018〕189号）系列文件的要求，本次绩效评价秉承</w:t>
      </w:r>
      <w:r>
        <w:rPr>
          <w:rFonts w:hint="eastAsia"/>
          <w:lang w:eastAsia="zh-CN"/>
        </w:rPr>
        <w:t>“</w:t>
      </w:r>
      <w:r>
        <w:t>科学规范、公正公开、分级分类、绩效相关</w:t>
      </w:r>
      <w:r>
        <w:rPr>
          <w:rFonts w:hint="eastAsia"/>
          <w:lang w:eastAsia="zh-CN"/>
        </w:rPr>
        <w:t>”</w:t>
      </w:r>
      <w:r>
        <w:t>原则，按照从投入、过程到产出效果和影响的绩效逻辑路径，结合2022年农业机械购置补贴项目实际开展情况，运用定量和定性分析相结合的方法，总结经验做法，反思项目实施和管理中的问题，以切实提升财政资金管理的科学化、规范化和精细化水平。</w:t>
      </w:r>
    </w:p>
    <w:p>
      <w:pPr>
        <w:ind w:firstLine="420"/>
      </w:pPr>
      <w:r>
        <w:t>根据以上原则，本次绩效评价遵循的原则包括：</w:t>
      </w:r>
    </w:p>
    <w:p>
      <w:pPr>
        <w:ind w:firstLine="420"/>
      </w:pPr>
      <w:r>
        <w:t>（1）绩效评价应当运用科学合理的方法，按照规范的程序，对项目绩效进行客观、公正的反映。</w:t>
      </w:r>
    </w:p>
    <w:p>
      <w:pPr>
        <w:ind w:firstLine="420"/>
        <w:rPr>
          <w:lang w:val="zh-TW"/>
        </w:rPr>
      </w:pPr>
      <w:r>
        <w:rPr>
          <w:lang w:val="zh-TW"/>
        </w:rPr>
        <w:t>（</w:t>
      </w:r>
      <w:r>
        <w:t>2</w:t>
      </w:r>
      <w:r>
        <w:rPr>
          <w:lang w:val="zh-TW"/>
        </w:rPr>
        <w:t>）在数据收集时，采取客观数据，主管部门审查、社会中介组织复查，与问卷调查相结合的形式，以保证各项指标的真实性。</w:t>
      </w:r>
    </w:p>
    <w:p>
      <w:pPr>
        <w:ind w:firstLine="420"/>
        <w:rPr>
          <w:lang w:val="zh-TW"/>
        </w:rPr>
      </w:pPr>
      <w:r>
        <w:rPr>
          <w:lang w:val="zh-TW"/>
        </w:rPr>
        <w:t>（</w:t>
      </w:r>
      <w:r>
        <w:t>3</w:t>
      </w:r>
      <w:r>
        <w:rPr>
          <w:lang w:val="zh-TW"/>
        </w:rPr>
        <w:t>）保证评价结果的</w:t>
      </w:r>
      <w:r>
        <w:t>独立性、</w:t>
      </w:r>
      <w:r>
        <w:rPr>
          <w:lang w:val="zh-TW"/>
        </w:rPr>
        <w:t>真实性、公正性，提高评价报告的公信力。</w:t>
      </w:r>
    </w:p>
    <w:p>
      <w:pPr>
        <w:ind w:firstLine="420"/>
      </w:pPr>
      <w:r>
        <w:rPr>
          <w:lang w:val="zh-TW"/>
        </w:rPr>
        <w:t>（</w:t>
      </w:r>
      <w:r>
        <w:t>4</w:t>
      </w:r>
      <w:r>
        <w:rPr>
          <w:lang w:val="zh-TW"/>
        </w:rPr>
        <w:t>）绩效评价报告应当简明扼要，除了对绩效评价的过程、结果描述外，还应总结经验，指出问题，并就共性问题提出可操作性改进建议</w:t>
      </w:r>
      <w:r>
        <w:t>。</w:t>
      </w:r>
    </w:p>
    <w:p>
      <w:pPr>
        <w:pStyle w:val="2"/>
        <w:ind w:firstLine="422"/>
        <w:rPr>
          <w:rFonts w:ascii="Times New Roman" w:hAnsi="Times New Roman"/>
        </w:rPr>
      </w:pPr>
      <w:r>
        <w:rPr>
          <w:rFonts w:ascii="Times New Roman" w:hAnsi="Times New Roman"/>
        </w:rPr>
        <w:t>2. 绩效评价指标体系</w:t>
      </w:r>
    </w:p>
    <w:p>
      <w:pPr>
        <w:ind w:firstLine="420"/>
      </w:pPr>
      <w:r>
        <w:t>2022年农业机械购置补贴项目</w:t>
      </w:r>
      <w:r>
        <w:rPr>
          <w:lang w:val="zh-TW" w:eastAsia="zh-TW"/>
        </w:rPr>
        <w:t>财政支出绩效评价指标体系严格按照《项目支出绩效评价管理办法》（财预〔2020〕10号）文件要求设置，</w:t>
      </w:r>
      <w:r>
        <w:t>指标体系设置一级指标共4个</w:t>
      </w:r>
      <w:r>
        <w:rPr>
          <w:lang w:val="zh-TW" w:eastAsia="zh-TW"/>
        </w:rPr>
        <w:t>，包括决策</w:t>
      </w:r>
      <w:r>
        <w:t>指标</w:t>
      </w:r>
      <w:r>
        <w:rPr>
          <w:lang w:val="zh-TW"/>
        </w:rPr>
        <w:t>（</w:t>
      </w:r>
      <w:r>
        <w:t>10</w:t>
      </w:r>
      <w:r>
        <w:rPr>
          <w:lang w:val="zh-TW" w:eastAsia="zh-TW"/>
        </w:rPr>
        <w:t>%）、</w:t>
      </w:r>
      <w:r>
        <w:t>过程指标</w:t>
      </w:r>
      <w:r>
        <w:rPr>
          <w:lang w:val="zh-TW"/>
        </w:rPr>
        <w:t>（</w:t>
      </w:r>
      <w:r>
        <w:t>25</w:t>
      </w:r>
      <w:r>
        <w:rPr>
          <w:lang w:val="zh-TW" w:eastAsia="zh-TW"/>
        </w:rPr>
        <w:t>%）、</w:t>
      </w:r>
      <w:r>
        <w:t>产出指标（35%）、效益指标（30%）四</w:t>
      </w:r>
      <w:r>
        <w:rPr>
          <w:lang w:val="zh-TW" w:eastAsia="zh-TW"/>
        </w:rPr>
        <w:t>类指标</w:t>
      </w:r>
      <w:r>
        <w:rPr>
          <w:lang w:val="zh-TW"/>
        </w:rPr>
        <w:t>；</w:t>
      </w:r>
      <w:r>
        <w:rPr>
          <w:lang w:val="zh-TW" w:eastAsia="zh-TW"/>
        </w:rPr>
        <w:t>主要围绕资金使用、项目管理、资源配置等方面，客观分析项目的产出和效果，从而考察项目预算定额标准的合理性，进而提出完善意见。整个评价框架构成体现从投入、过程到产出、效果和影响的绩效逻辑路径</w:t>
      </w:r>
      <w:r>
        <w:rPr>
          <w:lang w:val="zh-TW"/>
        </w:rPr>
        <w:t>。</w:t>
      </w:r>
      <w:r>
        <w:t>具体指标分类如下：</w:t>
      </w:r>
    </w:p>
    <w:p>
      <w:pPr>
        <w:ind w:firstLine="420"/>
      </w:pPr>
      <w:r>
        <w:t>一级指标为：决策、过程、产出、效益。</w:t>
      </w:r>
    </w:p>
    <w:p>
      <w:pPr>
        <w:ind w:firstLine="420"/>
      </w:pPr>
      <w:r>
        <w:t>二级指标为：项目立项、绩效目标、资金投入、资金管理、组织实施、产出数量、产出质量、产出时效、产出成本、项目效益。</w:t>
      </w:r>
    </w:p>
    <w:p>
      <w:pPr>
        <w:ind w:firstLine="420"/>
      </w:pPr>
      <w: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p>
    <w:p>
      <w:pPr>
        <w:ind w:firstLine="420"/>
      </w:pPr>
      <w:r>
        <w:rPr>
          <w:lang w:val="zh-TW" w:eastAsia="zh-TW"/>
        </w:rPr>
        <w:t>指标体系包括综合评价表和基础表两部分，综合评价表是评价的依据，基础表是支持评价的基础数据。指标体系为评分所用，需要基础表、问卷调查和访谈的支持。综合评价表中各指标的权重由</w:t>
      </w:r>
      <w:r>
        <w:rPr>
          <w:lang w:eastAsia="zh-TW"/>
        </w:rPr>
        <w:t>该项目</w:t>
      </w:r>
      <w:r>
        <w:rPr>
          <w:lang w:val="zh-TW" w:eastAsia="zh-TW"/>
        </w:rPr>
        <w:t>绩效评价小组根据绩效评价原理和评价需求，在调研基础上依据指标的重要性制定形成</w:t>
      </w:r>
      <w:r>
        <w:t>。</w:t>
      </w:r>
    </w:p>
    <w:p>
      <w:pPr>
        <w:pStyle w:val="2"/>
        <w:ind w:firstLine="422"/>
        <w:rPr>
          <w:rFonts w:ascii="Times New Roman" w:hAnsi="Times New Roman"/>
        </w:rPr>
      </w:pPr>
      <w:r>
        <w:rPr>
          <w:rFonts w:ascii="Times New Roman" w:hAnsi="Times New Roman"/>
        </w:rPr>
        <w:t>3.绩效评价方法</w:t>
      </w:r>
    </w:p>
    <w:p>
      <w:pPr>
        <w:ind w:firstLine="420"/>
      </w:pPr>
      <w:r>
        <w:t>正确的评价方法是评价工作顺利开展的保障，在结合实际经验的情况下，绩效评价小组根据该项目资金的性质和特点，选用比较法、因素分析法、公众评判法以及文献法对项目进行评价，旨在通过综合分析影响绩效目标实现、实施效果的内外部因素，从而评价本项目绩效。三级指标分析环节：总体采用公众评判法、文献法、成本效益法、因素分析法以及比较法，根据不同三级指标类型进行逐项分析。</w:t>
      </w:r>
    </w:p>
    <w:p>
      <w:pPr>
        <w:ind w:firstLine="422"/>
        <w:rPr>
          <w:rFonts w:eastAsia="宋体"/>
          <w:b/>
          <w:bCs/>
        </w:rPr>
      </w:pPr>
      <w:r>
        <w:rPr>
          <w:rFonts w:hint="eastAsia"/>
          <w:b/>
          <w:bCs/>
        </w:rPr>
        <w:t>（</w:t>
      </w:r>
      <w:r>
        <w:rPr>
          <w:b/>
          <w:bCs/>
        </w:rPr>
        <w:t>1</w:t>
      </w:r>
      <w:r>
        <w:rPr>
          <w:rFonts w:hint="eastAsia"/>
          <w:b/>
          <w:bCs/>
        </w:rPr>
        <w:t>）</w:t>
      </w:r>
      <w:r>
        <w:rPr>
          <w:b/>
          <w:bCs/>
        </w:rPr>
        <w:t>项目决策类指标评价方法</w:t>
      </w:r>
    </w:p>
    <w:p>
      <w:pPr>
        <w:ind w:firstLine="420"/>
      </w:pPr>
      <w:r>
        <w:t>立项依据充分性：比较法和文献法，查找法律法规政策以及规划，对比实际执行内容和政策支持内容是否匹配，分析立项依据充分性。</w:t>
      </w:r>
    </w:p>
    <w:p>
      <w:pPr>
        <w:ind w:firstLine="420"/>
      </w:pPr>
      <w:r>
        <w:t>立项程序规范性：比较法和文献法，查找相关项目设立的政策和文件要求，对比分析实际执行程序是否按照政策及文件要求执行，分析立项程序的规范性。</w:t>
      </w:r>
    </w:p>
    <w:p>
      <w:pPr>
        <w:ind w:firstLine="420"/>
      </w:pPr>
      <w:r>
        <w:t>绩效目标合理性：文献法和因素分析法，对比分析年初编制项目支出绩效目标表与项目内容的相关性、资金的匹配性等。</w:t>
      </w:r>
    </w:p>
    <w:p>
      <w:pPr>
        <w:ind w:firstLine="420"/>
      </w:pPr>
      <w:r>
        <w:t>绩效指标明确性：文献法和因素分析法，比较分析年初编制项目支出绩效目标表是否符合双七原则，是否可衡量。</w:t>
      </w:r>
    </w:p>
    <w:p>
      <w:pPr>
        <w:ind w:firstLine="420"/>
      </w:pPr>
      <w:r>
        <w:t>预算编制科学性：比较法和因素分析法，项目预算编制是否经过科学论证、有明确标准，资金额度与年度目标是否相适应，用以反映和考核项目预算编制的科学性、合理性情况。</w:t>
      </w:r>
    </w:p>
    <w:p>
      <w:pPr>
        <w:ind w:firstLine="420"/>
        <w:rPr>
          <w:rFonts w:eastAsia="宋体"/>
        </w:rPr>
      </w:pPr>
      <w:r>
        <w:t>资金分配合理性：因素分析法，综合分析资金的分配依据是否充分，分配金额是否与项目实施单位需求金额一致。</w:t>
      </w:r>
    </w:p>
    <w:p>
      <w:pPr>
        <w:ind w:firstLine="422"/>
        <w:rPr>
          <w:rFonts w:eastAsia="宋体"/>
          <w:b/>
          <w:bCs/>
        </w:rPr>
      </w:pPr>
      <w:r>
        <w:rPr>
          <w:rFonts w:hint="eastAsia"/>
          <w:b/>
          <w:bCs/>
        </w:rPr>
        <w:t>（</w:t>
      </w:r>
      <w:r>
        <w:rPr>
          <w:b/>
          <w:bCs/>
        </w:rPr>
        <w:t>2</w:t>
      </w:r>
      <w:r>
        <w:rPr>
          <w:rFonts w:hint="eastAsia"/>
          <w:b/>
          <w:bCs/>
        </w:rPr>
        <w:t>）</w:t>
      </w:r>
      <w:r>
        <w:rPr>
          <w:b/>
          <w:bCs/>
        </w:rPr>
        <w:t>项目过程类指标评价方法</w:t>
      </w:r>
    </w:p>
    <w:p>
      <w:pPr>
        <w:ind w:firstLine="420"/>
      </w:pPr>
      <w:r>
        <w:t>资金到位率：比较法和因素分析法，项目完成且资金到位数满足年度预算规模需求，得3分；项目尚未完成，资金到位率小于100%且大于等于80%的得2分，资金到位率小于80%且大于等于60%的得1.50分，资金到位率小于60%的不得分，并分析实际完成值和预期指标值之间的差距和原因。</w:t>
      </w:r>
    </w:p>
    <w:p>
      <w:pPr>
        <w:ind w:firstLine="420"/>
      </w:pPr>
      <w:r>
        <w:t>预算执行率：比较法和因素分析法，项目完成且执行数控制在年度预算规模之内的，得5分；项目尚未完成，预算执行率小于100%且大于等于80%的得3分，预算执行率小于80%且大于等于60%的得2分，预算执行率小于60%的不得分，并分析实际完成值和预期指标值之间的差距和原因。</w:t>
      </w:r>
    </w:p>
    <w:p>
      <w:pPr>
        <w:ind w:firstLine="420"/>
      </w:pPr>
      <w:r>
        <w:t>资金使用合规性：比较法、文献法和因素分析法等，通过实地</w:t>
      </w:r>
      <w:r>
        <w:rPr>
          <w:lang w:val="zh-TW"/>
        </w:rPr>
        <w:t>调研</w:t>
      </w:r>
      <w:r>
        <w:t>，检查</w:t>
      </w:r>
      <w:r>
        <w:rPr>
          <w:lang w:val="zh-TW"/>
        </w:rPr>
        <w:t>项目资金使用情况，</w:t>
      </w:r>
      <w:r>
        <w:t>对比专项资金管理办法要求，分析资金使用合规性。</w:t>
      </w:r>
    </w:p>
    <w:p>
      <w:pPr>
        <w:ind w:firstLine="420"/>
      </w:pPr>
      <w:r>
        <w:t>管理制度健全性：文献法、比较法和因素分析法等，通过查阅项目实施单位提供的财务和业务管理制度，将已建立的制度与现行的法律法规和政策要求进行对比，分析项目制度的合法性、合规性、完整性。</w:t>
      </w:r>
    </w:p>
    <w:p>
      <w:pPr>
        <w:ind w:firstLine="420"/>
      </w:pPr>
      <w:r>
        <w:t>制度执行有效性：文献法和因素分析法，结合项目实际实施过程性文件，根据已建设的财务管理制度和项目管理制度综合分析制度执行的有效性。</w:t>
      </w:r>
    </w:p>
    <w:p>
      <w:pPr>
        <w:ind w:firstLine="422"/>
        <w:rPr>
          <w:b/>
          <w:bCs/>
        </w:rPr>
      </w:pPr>
      <w:r>
        <w:rPr>
          <w:rFonts w:hint="eastAsia"/>
          <w:b/>
          <w:bCs/>
        </w:rPr>
        <w:t>（</w:t>
      </w:r>
      <w:r>
        <w:rPr>
          <w:b/>
          <w:bCs/>
        </w:rPr>
        <w:t>3</w:t>
      </w:r>
      <w:r>
        <w:rPr>
          <w:rFonts w:hint="eastAsia"/>
          <w:b/>
          <w:bCs/>
        </w:rPr>
        <w:t>）</w:t>
      </w:r>
      <w:r>
        <w:rPr>
          <w:b/>
          <w:bCs/>
        </w:rPr>
        <w:t>项目产出类指标评价方法</w:t>
      </w:r>
    </w:p>
    <w:p>
      <w:pPr>
        <w:ind w:firstLine="420"/>
      </w:pPr>
      <w:r>
        <w:t>一般量化统计类等定量指标：通过对比实际完成值和预期指标值和历史值对比分析，并以国内同类项目中较高的绩效水平为标杆进行评判，达成预期指标值的，记该指标所赋全部分值；对完成值高于指标值较多的，要分析原因，如果是由于年初指标值设定明显偏低造成的，要按照偏离度适度调减分值；未完成指标值的，</w:t>
      </w:r>
      <w:r>
        <w:rPr>
          <w:rFonts w:eastAsia="宋体"/>
        </w:rPr>
        <w:t>按照完成值与指标值的</w:t>
      </w:r>
      <w:r>
        <w:rPr>
          <w:lang w:eastAsia="zh-Hans"/>
        </w:rPr>
        <w:t>比值计算分值</w:t>
      </w:r>
      <w:r>
        <w:t>。</w:t>
      </w:r>
    </w:p>
    <w:p>
      <w:pPr>
        <w:ind w:firstLine="422"/>
        <w:rPr>
          <w:b/>
          <w:bCs/>
        </w:rPr>
      </w:pPr>
      <w:r>
        <w:rPr>
          <w:rFonts w:hint="eastAsia"/>
          <w:b/>
          <w:bCs/>
        </w:rPr>
        <w:t>（</w:t>
      </w:r>
      <w:r>
        <w:rPr>
          <w:b/>
          <w:bCs/>
        </w:rPr>
        <w:t>4</w:t>
      </w:r>
      <w:r>
        <w:rPr>
          <w:rFonts w:hint="eastAsia"/>
          <w:b/>
          <w:bCs/>
        </w:rPr>
        <w:t>）</w:t>
      </w:r>
      <w:r>
        <w:rPr>
          <w:b/>
          <w:bCs/>
        </w:rPr>
        <w:t>项目效益类指标评价方法</w:t>
      </w:r>
    </w:p>
    <w:p>
      <w:pPr>
        <w:ind w:firstLine="420"/>
      </w:pPr>
      <w:r>
        <w:t>项目效益类指标主要采用公众评判法，辅以文献法、比较法和因素分析法，通过问卷及抽样调查等方式评价本项目实施后社会公众对于其实施效果的满意程度。</w:t>
      </w:r>
    </w:p>
    <w:p>
      <w:pPr>
        <w:ind w:firstLine="420"/>
      </w:pPr>
      <w:r>
        <w:rPr>
          <w:rFonts w:hint="eastAsia" w:ascii="宋体" w:hAnsi="宋体" w:eastAsia="宋体" w:cs="宋体"/>
        </w:rPr>
        <w:t>①</w:t>
      </w:r>
      <w:r>
        <w:t>文献研究法：对2022年农业机械购置补贴项目实施内容、预算执行管理要求、活动完成情况及预期效果实现情况等相关资料进行研究、比较、分析，提取重要信息。</w:t>
      </w:r>
    </w:p>
    <w:p>
      <w:pPr>
        <w:ind w:firstLine="420"/>
      </w:pPr>
      <w:r>
        <w:rPr>
          <w:rFonts w:hint="eastAsia" w:ascii="宋体" w:hAnsi="宋体" w:eastAsia="宋体" w:cs="宋体"/>
        </w:rPr>
        <w:t>②</w:t>
      </w:r>
      <w:r>
        <w:t>公众评判法：受益农户的反馈对本次评价工作具有重要意义，评价过程中采用个别访谈或调查问卷等方式开展相关工作。调研结果参照《关于印发&lt;自治区项目支出绩效目标设置指引&gt;的通知）（新财预〔2022〕42号）文件，分为基本达成目标、部分实现目标、实现目标程度较低三档，分别按照该指标对应分值区间100%-80%（含）、80%-60%（含）、60%-0%合理确定分值。</w:t>
      </w:r>
    </w:p>
    <w:p>
      <w:pPr>
        <w:ind w:firstLine="420"/>
      </w:pPr>
      <w:r>
        <w:rPr>
          <w:rFonts w:hint="eastAsia" w:ascii="宋体" w:hAnsi="宋体" w:eastAsia="宋体" w:cs="宋体"/>
        </w:rPr>
        <w:t>③</w:t>
      </w:r>
      <w:r>
        <w:t>比较法：在分析实际发挥效果程度时，通过对工作任务、目标与实施完成情况、实施效果的比较，综合分析年度目标任务的实现程度。</w:t>
      </w:r>
    </w:p>
    <w:p>
      <w:pPr>
        <w:ind w:firstLine="420"/>
      </w:pPr>
      <w:r>
        <w:rPr>
          <w:rFonts w:hint="eastAsia" w:ascii="宋体" w:hAnsi="宋体" w:eastAsia="宋体" w:cs="宋体"/>
        </w:rPr>
        <w:t>④</w:t>
      </w:r>
      <w:r>
        <w:t>因素分析法：通过综合分析影响项目年度任务实现及实施效果的内外因素，评价其实现程度。</w:t>
      </w:r>
    </w:p>
    <w:p>
      <w:pPr>
        <w:pStyle w:val="2"/>
        <w:ind w:firstLine="422"/>
        <w:rPr>
          <w:rFonts w:ascii="Times New Roman" w:hAnsi="Times New Roman"/>
        </w:rPr>
      </w:pPr>
      <w:r>
        <w:rPr>
          <w:rFonts w:ascii="Times New Roman" w:hAnsi="Times New Roman"/>
        </w:rPr>
        <w:t>4.绩效评价标准</w:t>
      </w:r>
    </w:p>
    <w:p>
      <w:pPr>
        <w:ind w:firstLine="420"/>
      </w:pPr>
      <w:bookmarkStart w:id="37" w:name="_Toc68364663"/>
      <w:r>
        <w:t>绩效评价标准通常包括计划标准、行业标准、历史标准等。本次绩效评价采用计划标准，以预先制定的目标、计划、预算、定额等作为评价标准，对比分析项目产出、效益的完成情况。对于定性指标，通过文献查阅、问卷调查及访谈方式，采集相关数据，运用等级描述法，设置分级标准，体现该指标认可程度的差异。对于定量指标，通过公式计算、数据统计等方式予以量化，可以准确衡量，并设定目标值的考核指标。</w:t>
      </w:r>
    </w:p>
    <w:p>
      <w:pPr>
        <w:pStyle w:val="6"/>
        <w:ind w:firstLine="482"/>
        <w:rPr>
          <w:rFonts w:ascii="Times New Roman" w:hAnsi="Times New Roman"/>
        </w:rPr>
      </w:pPr>
      <w:bookmarkStart w:id="38" w:name="_Toc3222"/>
      <w:r>
        <w:rPr>
          <w:rFonts w:ascii="Times New Roman" w:hAnsi="Times New Roman"/>
        </w:rPr>
        <w:t>（三）绩效评价工作过程</w:t>
      </w:r>
      <w:bookmarkEnd w:id="37"/>
      <w:bookmarkEnd w:id="38"/>
    </w:p>
    <w:p>
      <w:pPr>
        <w:ind w:firstLine="420"/>
      </w:pPr>
      <w:r>
        <w:t>巴楚县财政局委托新疆驰远天合有限责任会计师事务所作为专业第三方机构，制定绩效评价工作程序按流程进行评价，第三方机构成立绩效评价工作小组，负责编制本项目绩效评价资料清单，收取各项资料并进行数据整理，根据评价需求实地进行调研考察，最终根据指标体系，形成评价结果并出具绩效评价报告。详细绩效评价工作过程如下：</w:t>
      </w:r>
    </w:p>
    <w:p>
      <w:pPr>
        <w:pStyle w:val="2"/>
        <w:ind w:firstLine="422"/>
        <w:rPr>
          <w:rFonts w:ascii="Times New Roman" w:hAnsi="Times New Roman"/>
        </w:rPr>
      </w:pPr>
      <w:r>
        <w:rPr>
          <w:rFonts w:ascii="Times New Roman" w:hAnsi="Times New Roman"/>
        </w:rPr>
        <w:t>1.前期准备</w:t>
      </w:r>
    </w:p>
    <w:p>
      <w:pPr>
        <w:ind w:firstLine="420"/>
      </w:pPr>
      <w:r>
        <w:t>2023年6月16日-6月18日，评价机构开展前期准备工作包括：成立绩效评价工作组，制定绩效评价实施方案，制定评估指标体系等。</w:t>
      </w:r>
    </w:p>
    <w:p>
      <w:pPr>
        <w:numPr>
          <w:ilvl w:val="0"/>
          <w:numId w:val="1"/>
        </w:numPr>
        <w:ind w:firstLine="420"/>
      </w:pPr>
      <w:r>
        <w:t>成立绩效评价小组。我单位成立由至少1名主评人和其他专业绩效评价工作人员组成的实效评价工作组，充分按工作要求考虑人员结构、业务能力、利益关系回避等情况，并同步建立项目人员联系清单和线上工作群。具体成员及职责分工如下：</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605"/>
        <w:gridCol w:w="842"/>
        <w:gridCol w:w="1075"/>
        <w:gridCol w:w="1345"/>
        <w:gridCol w:w="4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Header/>
          <w:jc w:val="center"/>
        </w:trPr>
        <w:tc>
          <w:tcPr>
            <w:tcW w:w="363" w:type="pct"/>
            <w:tcBorders>
              <w:tl2br w:val="nil"/>
              <w:tr2bl w:val="nil"/>
            </w:tcBorders>
            <w:vAlign w:val="center"/>
          </w:tcPr>
          <w:p>
            <w:pPr>
              <w:widowControl/>
              <w:spacing w:line="300" w:lineRule="auto"/>
              <w:ind w:firstLine="0" w:firstLineChars="0"/>
              <w:jc w:val="center"/>
              <w:textAlignment w:val="center"/>
              <w:rPr>
                <w:b/>
                <w:lang w:eastAsia="en-US"/>
              </w:rPr>
            </w:pPr>
            <w:r>
              <w:rPr>
                <w:b/>
                <w:lang w:bidi="ar"/>
              </w:rPr>
              <w:t>序号</w:t>
            </w:r>
          </w:p>
        </w:tc>
        <w:tc>
          <w:tcPr>
            <w:tcW w:w="505" w:type="pct"/>
            <w:tcBorders>
              <w:tl2br w:val="nil"/>
              <w:tr2bl w:val="nil"/>
            </w:tcBorders>
            <w:vAlign w:val="center"/>
          </w:tcPr>
          <w:p>
            <w:pPr>
              <w:widowControl/>
              <w:spacing w:line="300" w:lineRule="auto"/>
              <w:ind w:firstLine="0" w:firstLineChars="0"/>
              <w:jc w:val="center"/>
              <w:textAlignment w:val="center"/>
              <w:rPr>
                <w:b/>
                <w:lang w:eastAsia="en-US"/>
              </w:rPr>
            </w:pPr>
            <w:r>
              <w:rPr>
                <w:b/>
                <w:lang w:bidi="ar"/>
              </w:rPr>
              <w:t>姓名</w:t>
            </w:r>
          </w:p>
        </w:tc>
        <w:tc>
          <w:tcPr>
            <w:tcW w:w="645" w:type="pct"/>
            <w:tcBorders>
              <w:tl2br w:val="nil"/>
              <w:tr2bl w:val="nil"/>
            </w:tcBorders>
            <w:vAlign w:val="center"/>
          </w:tcPr>
          <w:p>
            <w:pPr>
              <w:widowControl/>
              <w:spacing w:line="300" w:lineRule="auto"/>
              <w:ind w:firstLine="0" w:firstLineChars="0"/>
              <w:jc w:val="center"/>
              <w:textAlignment w:val="center"/>
              <w:rPr>
                <w:b/>
              </w:rPr>
            </w:pPr>
            <w:r>
              <w:rPr>
                <w:b/>
              </w:rPr>
              <w:t>项目职责</w:t>
            </w:r>
          </w:p>
        </w:tc>
        <w:tc>
          <w:tcPr>
            <w:tcW w:w="807" w:type="pct"/>
            <w:tcBorders>
              <w:tl2br w:val="nil"/>
              <w:tr2bl w:val="nil"/>
            </w:tcBorders>
            <w:vAlign w:val="center"/>
          </w:tcPr>
          <w:p>
            <w:pPr>
              <w:widowControl/>
              <w:spacing w:line="300" w:lineRule="auto"/>
              <w:ind w:firstLine="0" w:firstLineChars="0"/>
              <w:jc w:val="center"/>
              <w:textAlignment w:val="center"/>
              <w:rPr>
                <w:b/>
                <w:lang w:eastAsia="en-US"/>
              </w:rPr>
            </w:pPr>
            <w:r>
              <w:rPr>
                <w:b/>
                <w:lang w:bidi="ar"/>
              </w:rPr>
              <w:t>资质或职位</w:t>
            </w:r>
          </w:p>
        </w:tc>
        <w:tc>
          <w:tcPr>
            <w:tcW w:w="2679" w:type="pct"/>
            <w:tcBorders>
              <w:tl2br w:val="nil"/>
              <w:tr2bl w:val="nil"/>
            </w:tcBorders>
            <w:vAlign w:val="center"/>
          </w:tcPr>
          <w:p>
            <w:pPr>
              <w:widowControl/>
              <w:spacing w:line="300" w:lineRule="auto"/>
              <w:ind w:firstLine="0" w:firstLineChars="0"/>
              <w:jc w:val="center"/>
              <w:textAlignment w:val="center"/>
              <w:rPr>
                <w:b/>
                <w:lang w:bidi="ar"/>
              </w:rPr>
            </w:pPr>
            <w:r>
              <w:rPr>
                <w:b/>
                <w:lang w:bidi="ar"/>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8" w:hRule="atLeast"/>
          <w:jc w:val="center"/>
        </w:trPr>
        <w:tc>
          <w:tcPr>
            <w:tcW w:w="363" w:type="pct"/>
            <w:tcBorders>
              <w:tl2br w:val="nil"/>
              <w:tr2bl w:val="nil"/>
            </w:tcBorders>
            <w:vAlign w:val="center"/>
          </w:tcPr>
          <w:p>
            <w:pPr>
              <w:widowControl/>
              <w:spacing w:line="300" w:lineRule="auto"/>
              <w:ind w:firstLine="0" w:firstLineChars="0"/>
              <w:jc w:val="center"/>
              <w:textAlignment w:val="center"/>
              <w:rPr>
                <w:bCs/>
              </w:rPr>
            </w:pPr>
            <w:r>
              <w:rPr>
                <w:bCs/>
                <w:lang w:bidi="ar"/>
              </w:rPr>
              <w:t>1</w:t>
            </w:r>
          </w:p>
        </w:tc>
        <w:tc>
          <w:tcPr>
            <w:tcW w:w="505" w:type="pct"/>
            <w:tcBorders>
              <w:tl2br w:val="nil"/>
              <w:tr2bl w:val="nil"/>
            </w:tcBorders>
            <w:vAlign w:val="center"/>
          </w:tcPr>
          <w:p>
            <w:pPr>
              <w:widowControl/>
              <w:spacing w:line="300" w:lineRule="auto"/>
              <w:ind w:firstLine="0" w:firstLineChars="0"/>
              <w:jc w:val="center"/>
              <w:textAlignment w:val="center"/>
              <w:rPr>
                <w:bCs/>
                <w:lang w:bidi="ar"/>
              </w:rPr>
            </w:pPr>
            <w:r>
              <w:rPr>
                <w:bCs/>
                <w:lang w:bidi="ar"/>
              </w:rPr>
              <w:t>冯延萍</w:t>
            </w:r>
          </w:p>
        </w:tc>
        <w:tc>
          <w:tcPr>
            <w:tcW w:w="645" w:type="pct"/>
            <w:tcBorders>
              <w:tl2br w:val="nil"/>
              <w:tr2bl w:val="nil"/>
            </w:tcBorders>
            <w:vAlign w:val="center"/>
          </w:tcPr>
          <w:p>
            <w:pPr>
              <w:widowControl/>
              <w:spacing w:line="300" w:lineRule="auto"/>
              <w:ind w:firstLine="0" w:firstLineChars="0"/>
              <w:jc w:val="center"/>
              <w:textAlignment w:val="center"/>
              <w:rPr>
                <w:bCs/>
                <w:lang w:bidi="ar"/>
              </w:rPr>
            </w:pPr>
            <w:r>
              <w:rPr>
                <w:bCs/>
                <w:lang w:bidi="ar"/>
              </w:rPr>
              <w:t>主评人</w:t>
            </w:r>
          </w:p>
        </w:tc>
        <w:tc>
          <w:tcPr>
            <w:tcW w:w="807" w:type="pct"/>
            <w:tcBorders>
              <w:tl2br w:val="nil"/>
              <w:tr2bl w:val="nil"/>
            </w:tcBorders>
            <w:vAlign w:val="center"/>
          </w:tcPr>
          <w:p>
            <w:pPr>
              <w:widowControl/>
              <w:spacing w:line="300" w:lineRule="auto"/>
              <w:ind w:firstLine="0" w:firstLineChars="0"/>
              <w:jc w:val="center"/>
              <w:textAlignment w:val="center"/>
              <w:rPr>
                <w:bCs/>
                <w:lang w:bidi="ar"/>
              </w:rPr>
            </w:pPr>
            <w:r>
              <w:rPr>
                <w:rFonts w:hint="eastAsia"/>
                <w:bCs/>
                <w:lang w:bidi="ar"/>
              </w:rPr>
              <w:t>注册会计师、注册评估师</w:t>
            </w:r>
          </w:p>
        </w:tc>
        <w:tc>
          <w:tcPr>
            <w:tcW w:w="2679" w:type="pct"/>
            <w:tcBorders>
              <w:tl2br w:val="nil"/>
              <w:tr2bl w:val="nil"/>
            </w:tcBorders>
            <w:vAlign w:val="center"/>
          </w:tcPr>
          <w:p>
            <w:pPr>
              <w:spacing w:line="300" w:lineRule="auto"/>
              <w:ind w:firstLine="0" w:firstLineChars="0"/>
              <w:jc w:val="left"/>
              <w:rPr>
                <w:bCs/>
                <w:lang w:bidi="ar"/>
              </w:rPr>
            </w:pPr>
            <w:r>
              <w:rPr>
                <w:bCs/>
                <w:snapToGrid w:val="0"/>
              </w:rPr>
              <w:t>负责项目总体计划的审批，项目重大风险的整体把握，对整体检查工作进行全面技术把关和指导；报告质量内部质量总体把控，对整体评价结论进行最终复核。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363" w:type="pct"/>
            <w:tcBorders>
              <w:tl2br w:val="nil"/>
              <w:tr2bl w:val="nil"/>
            </w:tcBorders>
            <w:vAlign w:val="center"/>
          </w:tcPr>
          <w:p>
            <w:pPr>
              <w:widowControl/>
              <w:spacing w:line="300" w:lineRule="auto"/>
              <w:ind w:firstLine="0" w:firstLineChars="0"/>
              <w:jc w:val="center"/>
              <w:textAlignment w:val="center"/>
              <w:rPr>
                <w:bCs/>
                <w:lang w:eastAsia="en-US"/>
              </w:rPr>
            </w:pPr>
            <w:r>
              <w:rPr>
                <w:bCs/>
              </w:rPr>
              <w:t>2</w:t>
            </w:r>
          </w:p>
        </w:tc>
        <w:tc>
          <w:tcPr>
            <w:tcW w:w="505" w:type="pct"/>
            <w:tcBorders>
              <w:tl2br w:val="nil"/>
              <w:tr2bl w:val="nil"/>
            </w:tcBorders>
            <w:vAlign w:val="center"/>
          </w:tcPr>
          <w:p>
            <w:pPr>
              <w:widowControl/>
              <w:spacing w:line="300" w:lineRule="auto"/>
              <w:ind w:firstLine="0" w:firstLineChars="0"/>
              <w:jc w:val="center"/>
              <w:textAlignment w:val="center"/>
              <w:rPr>
                <w:bCs/>
                <w:lang w:eastAsia="en-US"/>
              </w:rPr>
            </w:pPr>
            <w:r>
              <w:rPr>
                <w:bCs/>
              </w:rPr>
              <w:t>腊晓林</w:t>
            </w:r>
          </w:p>
        </w:tc>
        <w:tc>
          <w:tcPr>
            <w:tcW w:w="645" w:type="pct"/>
            <w:tcBorders>
              <w:tl2br w:val="nil"/>
              <w:tr2bl w:val="nil"/>
            </w:tcBorders>
            <w:vAlign w:val="center"/>
          </w:tcPr>
          <w:p>
            <w:pPr>
              <w:widowControl/>
              <w:spacing w:line="300" w:lineRule="auto"/>
              <w:ind w:firstLine="0" w:firstLineChars="0"/>
              <w:jc w:val="center"/>
              <w:textAlignment w:val="center"/>
              <w:rPr>
                <w:bCs/>
                <w:lang w:eastAsia="en-US"/>
              </w:rPr>
            </w:pPr>
            <w:r>
              <w:rPr>
                <w:bCs/>
                <w:lang w:bidi="ar"/>
              </w:rPr>
              <w:t>质控负责人</w:t>
            </w:r>
          </w:p>
        </w:tc>
        <w:tc>
          <w:tcPr>
            <w:tcW w:w="807" w:type="pct"/>
            <w:tcBorders>
              <w:tl2br w:val="nil"/>
              <w:tr2bl w:val="nil"/>
            </w:tcBorders>
            <w:vAlign w:val="center"/>
          </w:tcPr>
          <w:p>
            <w:pPr>
              <w:widowControl/>
              <w:spacing w:line="300" w:lineRule="auto"/>
              <w:ind w:firstLine="0" w:firstLineChars="0"/>
              <w:jc w:val="center"/>
              <w:textAlignment w:val="center"/>
              <w:rPr>
                <w:bCs/>
              </w:rPr>
            </w:pPr>
            <w:r>
              <w:rPr>
                <w:bCs/>
                <w:lang w:bidi="ar"/>
              </w:rPr>
              <w:t>技术总监</w:t>
            </w:r>
          </w:p>
        </w:tc>
        <w:tc>
          <w:tcPr>
            <w:tcW w:w="2679" w:type="pct"/>
            <w:tcBorders>
              <w:tl2br w:val="nil"/>
              <w:tr2bl w:val="nil"/>
            </w:tcBorders>
            <w:vAlign w:val="center"/>
          </w:tcPr>
          <w:p>
            <w:pPr>
              <w:widowControl/>
              <w:spacing w:line="300" w:lineRule="auto"/>
              <w:ind w:firstLine="0" w:firstLineChars="0"/>
              <w:jc w:val="left"/>
              <w:textAlignment w:val="center"/>
              <w:rPr>
                <w:bCs/>
                <w:lang w:bidi="ar"/>
              </w:rPr>
            </w:pPr>
            <w:r>
              <w:rPr>
                <w:bCs/>
              </w:rPr>
              <w:t>通过稽核强化工作质量管理，严格把控评价结果报告质量关，规范出具报告的标准，杜绝或减少对外出具的报告中出现不应出错或低级错误的发生，确保工作质量不出现重大纰漏。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 w:hRule="atLeast"/>
          <w:jc w:val="center"/>
        </w:trPr>
        <w:tc>
          <w:tcPr>
            <w:tcW w:w="363" w:type="pct"/>
            <w:tcBorders>
              <w:tl2br w:val="nil"/>
              <w:tr2bl w:val="nil"/>
            </w:tcBorders>
            <w:vAlign w:val="center"/>
          </w:tcPr>
          <w:p>
            <w:pPr>
              <w:widowControl/>
              <w:spacing w:line="300" w:lineRule="auto"/>
              <w:ind w:firstLine="0" w:firstLineChars="0"/>
              <w:jc w:val="center"/>
              <w:textAlignment w:val="center"/>
              <w:rPr>
                <w:bCs/>
                <w:lang w:eastAsia="en-US"/>
              </w:rPr>
            </w:pPr>
            <w:r>
              <w:rPr>
                <w:bCs/>
              </w:rPr>
              <w:t>3</w:t>
            </w:r>
          </w:p>
        </w:tc>
        <w:tc>
          <w:tcPr>
            <w:tcW w:w="505" w:type="pct"/>
            <w:tcBorders>
              <w:tl2br w:val="nil"/>
              <w:tr2bl w:val="nil"/>
            </w:tcBorders>
            <w:vAlign w:val="center"/>
          </w:tcPr>
          <w:p>
            <w:pPr>
              <w:widowControl/>
              <w:spacing w:line="300" w:lineRule="auto"/>
              <w:ind w:firstLine="0" w:firstLineChars="0"/>
              <w:jc w:val="center"/>
              <w:textAlignment w:val="center"/>
              <w:rPr>
                <w:bCs/>
                <w:lang w:eastAsia="en-US"/>
              </w:rPr>
            </w:pPr>
            <w:r>
              <w:rPr>
                <w:bCs/>
              </w:rPr>
              <w:t>王丽</w:t>
            </w:r>
          </w:p>
        </w:tc>
        <w:tc>
          <w:tcPr>
            <w:tcW w:w="645" w:type="pct"/>
            <w:tcBorders>
              <w:tl2br w:val="nil"/>
              <w:tr2bl w:val="nil"/>
            </w:tcBorders>
            <w:vAlign w:val="center"/>
          </w:tcPr>
          <w:p>
            <w:pPr>
              <w:widowControl/>
              <w:spacing w:line="300" w:lineRule="auto"/>
              <w:ind w:firstLine="0" w:firstLineChars="0"/>
              <w:jc w:val="center"/>
              <w:textAlignment w:val="center"/>
              <w:rPr>
                <w:bCs/>
              </w:rPr>
            </w:pPr>
            <w:r>
              <w:rPr>
                <w:bCs/>
                <w:lang w:bidi="ar"/>
              </w:rPr>
              <w:t>项目负责人</w:t>
            </w:r>
          </w:p>
        </w:tc>
        <w:tc>
          <w:tcPr>
            <w:tcW w:w="807" w:type="pct"/>
            <w:tcBorders>
              <w:tl2br w:val="nil"/>
              <w:tr2bl w:val="nil"/>
            </w:tcBorders>
            <w:vAlign w:val="center"/>
          </w:tcPr>
          <w:p>
            <w:pPr>
              <w:widowControl/>
              <w:spacing w:line="300" w:lineRule="auto"/>
              <w:ind w:firstLine="0" w:firstLineChars="0"/>
              <w:jc w:val="center"/>
              <w:rPr>
                <w:bCs/>
                <w:lang w:bidi="ar"/>
              </w:rPr>
            </w:pPr>
            <w:r>
              <w:rPr>
                <w:bCs/>
                <w:lang w:bidi="ar"/>
              </w:rPr>
              <w:t>部门经理</w:t>
            </w:r>
          </w:p>
        </w:tc>
        <w:tc>
          <w:tcPr>
            <w:tcW w:w="2679" w:type="pct"/>
            <w:tcBorders>
              <w:tl2br w:val="nil"/>
              <w:tr2bl w:val="nil"/>
            </w:tcBorders>
            <w:vAlign w:val="center"/>
          </w:tcPr>
          <w:p>
            <w:pPr>
              <w:spacing w:line="300" w:lineRule="auto"/>
              <w:ind w:firstLine="0" w:firstLineChars="0"/>
              <w:jc w:val="left"/>
              <w:rPr>
                <w:bCs/>
                <w:lang w:bidi="ar"/>
              </w:rPr>
            </w:pPr>
            <w:r>
              <w:rPr>
                <w:bCs/>
                <w:snapToGrid w:val="0"/>
              </w:rPr>
              <w:t>统筹、协调与项目单位就评价工作开展有效沟通；组织有关绩效评价工作的具体实施；绩效目标框架梳理及指标体系设置和调整；定期组织评价小组就评价工作进行分析、总结。撰写绩效评价报告；根据评审专家意见及建议修改绩效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363" w:type="pct"/>
            <w:tcBorders>
              <w:tl2br w:val="nil"/>
              <w:tr2bl w:val="nil"/>
            </w:tcBorders>
            <w:vAlign w:val="center"/>
          </w:tcPr>
          <w:p>
            <w:pPr>
              <w:widowControl/>
              <w:spacing w:line="300" w:lineRule="auto"/>
              <w:ind w:firstLine="0" w:firstLineChars="0"/>
              <w:jc w:val="center"/>
              <w:textAlignment w:val="center"/>
              <w:rPr>
                <w:bCs/>
                <w:lang w:eastAsia="en-US" w:bidi="ar"/>
              </w:rPr>
            </w:pPr>
            <w:r>
              <w:rPr>
                <w:bCs/>
                <w:lang w:bidi="ar"/>
              </w:rPr>
              <w:t>4</w:t>
            </w:r>
          </w:p>
        </w:tc>
        <w:tc>
          <w:tcPr>
            <w:tcW w:w="505" w:type="pct"/>
            <w:tcBorders>
              <w:tl2br w:val="nil"/>
              <w:tr2bl w:val="nil"/>
            </w:tcBorders>
            <w:vAlign w:val="center"/>
          </w:tcPr>
          <w:p>
            <w:pPr>
              <w:widowControl/>
              <w:spacing w:line="300" w:lineRule="auto"/>
              <w:ind w:firstLine="0" w:firstLineChars="0"/>
              <w:jc w:val="center"/>
              <w:textAlignment w:val="center"/>
              <w:rPr>
                <w:bCs/>
                <w:snapToGrid w:val="0"/>
              </w:rPr>
            </w:pPr>
            <w:r>
              <w:rPr>
                <w:bCs/>
                <w:snapToGrid w:val="0"/>
              </w:rPr>
              <w:t>赵夏清</w:t>
            </w:r>
          </w:p>
        </w:tc>
        <w:tc>
          <w:tcPr>
            <w:tcW w:w="645" w:type="pct"/>
            <w:tcBorders>
              <w:tl2br w:val="nil"/>
              <w:tr2bl w:val="nil"/>
            </w:tcBorders>
            <w:vAlign w:val="center"/>
          </w:tcPr>
          <w:p>
            <w:pPr>
              <w:widowControl/>
              <w:spacing w:line="300" w:lineRule="auto"/>
              <w:ind w:firstLine="0" w:firstLineChars="0"/>
              <w:jc w:val="center"/>
              <w:textAlignment w:val="center"/>
              <w:rPr>
                <w:bCs/>
                <w:snapToGrid w:val="0"/>
              </w:rPr>
            </w:pPr>
            <w:r>
              <w:rPr>
                <w:bCs/>
                <w:snapToGrid w:val="0"/>
              </w:rPr>
              <w:t>项目绩效评价人员</w:t>
            </w:r>
          </w:p>
        </w:tc>
        <w:tc>
          <w:tcPr>
            <w:tcW w:w="807" w:type="pct"/>
            <w:tcBorders>
              <w:tl2br w:val="nil"/>
              <w:tr2bl w:val="nil"/>
            </w:tcBorders>
            <w:vAlign w:val="center"/>
          </w:tcPr>
          <w:p>
            <w:pPr>
              <w:widowControl/>
              <w:spacing w:line="300" w:lineRule="auto"/>
              <w:ind w:firstLine="0" w:firstLineChars="0"/>
              <w:jc w:val="center"/>
              <w:rPr>
                <w:bCs/>
                <w:lang w:bidi="ar"/>
              </w:rPr>
            </w:pPr>
            <w:r>
              <w:rPr>
                <w:bCs/>
                <w:lang w:bidi="ar"/>
              </w:rPr>
              <w:t>项目助理</w:t>
            </w:r>
          </w:p>
        </w:tc>
        <w:tc>
          <w:tcPr>
            <w:tcW w:w="2679" w:type="pct"/>
            <w:tcBorders>
              <w:tl2br w:val="nil"/>
              <w:tr2bl w:val="nil"/>
            </w:tcBorders>
            <w:vAlign w:val="center"/>
          </w:tcPr>
          <w:p>
            <w:pPr>
              <w:spacing w:line="300" w:lineRule="auto"/>
              <w:ind w:firstLine="0" w:firstLineChars="0"/>
              <w:jc w:val="left"/>
              <w:rPr>
                <w:bCs/>
                <w:lang w:bidi="ar"/>
              </w:rPr>
            </w:pPr>
            <w:r>
              <w:rPr>
                <w:bCs/>
                <w:snapToGrid w:val="0"/>
              </w:rPr>
              <w:t>负责协助项目负责人与被评价单位进行沟通；指标体系相关数据的收集、汇总、打分；问卷调查的发放及汇总；与预算单位相关负责人进行访谈，撰写访谈分析报告。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363" w:type="pct"/>
            <w:tcBorders>
              <w:tl2br w:val="nil"/>
              <w:tr2bl w:val="nil"/>
            </w:tcBorders>
            <w:vAlign w:val="center"/>
          </w:tcPr>
          <w:p>
            <w:pPr>
              <w:widowControl/>
              <w:spacing w:line="300" w:lineRule="auto"/>
              <w:ind w:firstLine="0" w:firstLineChars="0"/>
              <w:jc w:val="center"/>
              <w:textAlignment w:val="center"/>
              <w:rPr>
                <w:bCs/>
                <w:lang w:bidi="ar"/>
              </w:rPr>
            </w:pPr>
            <w:r>
              <w:rPr>
                <w:bCs/>
                <w:lang w:bidi="ar"/>
              </w:rPr>
              <w:t>5</w:t>
            </w:r>
          </w:p>
        </w:tc>
        <w:tc>
          <w:tcPr>
            <w:tcW w:w="505" w:type="pct"/>
            <w:tcBorders>
              <w:tl2br w:val="nil"/>
              <w:tr2bl w:val="nil"/>
            </w:tcBorders>
            <w:vAlign w:val="center"/>
          </w:tcPr>
          <w:p>
            <w:pPr>
              <w:widowControl/>
              <w:spacing w:line="300" w:lineRule="auto"/>
              <w:ind w:firstLine="0" w:firstLineChars="0"/>
              <w:jc w:val="center"/>
              <w:rPr>
                <w:bCs/>
                <w:lang w:bidi="ar"/>
              </w:rPr>
            </w:pPr>
            <w:r>
              <w:rPr>
                <w:bCs/>
                <w:lang w:bidi="ar"/>
              </w:rPr>
              <w:t>石俊宇</w:t>
            </w:r>
          </w:p>
        </w:tc>
        <w:tc>
          <w:tcPr>
            <w:tcW w:w="645" w:type="pct"/>
            <w:tcBorders>
              <w:tl2br w:val="nil"/>
              <w:tr2bl w:val="nil"/>
            </w:tcBorders>
            <w:vAlign w:val="center"/>
          </w:tcPr>
          <w:p>
            <w:pPr>
              <w:widowControl/>
              <w:spacing w:line="300" w:lineRule="auto"/>
              <w:ind w:firstLine="0" w:firstLineChars="0"/>
              <w:jc w:val="center"/>
              <w:textAlignment w:val="center"/>
              <w:rPr>
                <w:bCs/>
                <w:snapToGrid w:val="0"/>
              </w:rPr>
            </w:pPr>
            <w:r>
              <w:rPr>
                <w:bCs/>
                <w:snapToGrid w:val="0"/>
              </w:rPr>
              <w:t>项目绩效评价人员</w:t>
            </w:r>
          </w:p>
        </w:tc>
        <w:tc>
          <w:tcPr>
            <w:tcW w:w="807" w:type="pct"/>
            <w:tcBorders>
              <w:tl2br w:val="nil"/>
              <w:tr2bl w:val="nil"/>
            </w:tcBorders>
            <w:vAlign w:val="center"/>
          </w:tcPr>
          <w:p>
            <w:pPr>
              <w:widowControl/>
              <w:spacing w:line="300" w:lineRule="auto"/>
              <w:ind w:firstLine="0" w:firstLineChars="0"/>
              <w:jc w:val="center"/>
              <w:rPr>
                <w:bCs/>
                <w:lang w:bidi="ar"/>
              </w:rPr>
            </w:pPr>
            <w:r>
              <w:rPr>
                <w:bCs/>
                <w:lang w:bidi="ar"/>
              </w:rPr>
              <w:t>项目助理</w:t>
            </w:r>
          </w:p>
        </w:tc>
        <w:tc>
          <w:tcPr>
            <w:tcW w:w="2679" w:type="pct"/>
            <w:tcBorders>
              <w:tl2br w:val="nil"/>
              <w:tr2bl w:val="nil"/>
            </w:tcBorders>
            <w:vAlign w:val="center"/>
          </w:tcPr>
          <w:p>
            <w:pPr>
              <w:spacing w:line="300" w:lineRule="auto"/>
              <w:ind w:firstLine="0" w:firstLineChars="0"/>
              <w:jc w:val="left"/>
              <w:rPr>
                <w:bCs/>
                <w:snapToGrid w:val="0"/>
              </w:rPr>
            </w:pPr>
            <w:r>
              <w:rPr>
                <w:bCs/>
                <w:snapToGrid w:val="0"/>
              </w:rPr>
              <w:t>负责收集、整理、归类项目相关资料；了解项目预算资金安排及实际执行情况；深入了解项目具体实施及绩效目标完成情况，整合分析项目相关资料和数据等工作。</w:t>
            </w:r>
          </w:p>
        </w:tc>
      </w:tr>
    </w:tbl>
    <w:p>
      <w:pPr>
        <w:ind w:firstLine="420"/>
      </w:pPr>
    </w:p>
    <w:p>
      <w:pPr>
        <w:ind w:firstLine="420"/>
      </w:pPr>
      <w:r>
        <w:t>（2）制定评价实施方案。我单位根据项目的基本情况，按照财政预算绩效评价工作要求，拟订评价实施方案，并报委托方审核。实施方案应包括人员配置、时间安排、评价依据、评价方法、评价指标体系、实施步骤及工作纪律等内容。</w:t>
      </w:r>
    </w:p>
    <w:p>
      <w:pPr>
        <w:ind w:firstLine="420"/>
      </w:pPr>
      <w:r>
        <w:t>（3）完善评价指标体系。评价指标体系是评价实施方案的核心。绩效评价小组通过对项目绩效目标已有指标进行分析研究，根据项目的资料研读及前期调研，结合项目的实际开展情况，</w:t>
      </w:r>
      <w:r>
        <w:rPr>
          <w:lang w:val="zh-TW" w:eastAsia="zh-TW"/>
        </w:rPr>
        <w:t>严格按照《项目支出绩效评价管理办法</w:t>
      </w:r>
      <w:r>
        <w:rPr>
          <w:lang w:val="zh-TW"/>
        </w:rPr>
        <w:t>》</w:t>
      </w:r>
      <w:r>
        <w:rPr>
          <w:lang w:val="zh-TW" w:eastAsia="zh-TW"/>
        </w:rPr>
        <w:t>（财预〔2020〕10号）文件要求设置</w:t>
      </w:r>
      <w:r>
        <w:t>完善</w:t>
      </w:r>
      <w:r>
        <w:rPr>
          <w:lang w:val="zh-TW" w:eastAsia="zh-TW"/>
        </w:rPr>
        <w:t>绩效评价指标体系</w:t>
      </w:r>
      <w:r>
        <w:t>。对有明确受益对象的评价项目，设计满意度调查问卷，并明确调查的目的、对象、方法等内容。</w:t>
      </w:r>
    </w:p>
    <w:p>
      <w:pPr>
        <w:ind w:firstLine="420"/>
      </w:pPr>
      <w:r>
        <w:t>（4）评价通知及资料清单。按照委托单位下发的评价通知，评价工作组向被评价单位提供资料清单，收集基础资料。在调研过程中根据项目实际情况以及绩效评价工作的需要，及时与被评价单位沟通提供补充资料</w:t>
      </w:r>
    </w:p>
    <w:p>
      <w:pPr>
        <w:pStyle w:val="2"/>
        <w:ind w:firstLine="422"/>
        <w:rPr>
          <w:rFonts w:ascii="Times New Roman" w:hAnsi="Times New Roman"/>
        </w:rPr>
      </w:pPr>
      <w:r>
        <w:rPr>
          <w:rFonts w:ascii="Times New Roman" w:hAnsi="Times New Roman"/>
        </w:rPr>
        <w:t>2.组织实施</w:t>
      </w:r>
    </w:p>
    <w:p>
      <w:pPr>
        <w:ind w:firstLine="420"/>
      </w:pPr>
      <w:r>
        <w:t>2023年6月19日-6月26日，绩效评价小组严格按照工作方案，采取现场和非现场评价相结合的方式开展调研、查阅基础资料、数据采集、问卷调查、访谈、数据分析等绩效评价工作，具体实施情况如下：</w:t>
      </w:r>
    </w:p>
    <w:p>
      <w:pPr>
        <w:ind w:firstLine="420"/>
      </w:pPr>
      <w:bookmarkStart w:id="39" w:name="_Toc419984724"/>
      <w:bookmarkStart w:id="40" w:name="_Toc428278233"/>
      <w:r>
        <w:t>（1）采集评价基础数据及相关资料</w:t>
      </w:r>
    </w:p>
    <w:bookmarkEnd w:id="39"/>
    <w:bookmarkEnd w:id="40"/>
    <w:p>
      <w:pPr>
        <w:ind w:firstLine="420"/>
        <w:rPr>
          <w:lang w:val="zh-TW"/>
        </w:rPr>
      </w:pPr>
      <w:r>
        <w:t>全面收集项目相关资料和基础数据，完成绩效评价内容和评价指标体系的评价印证资料。整理</w:t>
      </w:r>
      <w:r>
        <w:rPr>
          <w:lang w:val="zh-TW"/>
        </w:rPr>
        <w:t>该项目</w:t>
      </w:r>
      <w:r>
        <w:rPr>
          <w:lang w:val="zh-TW" w:eastAsia="zh-TW"/>
        </w:rPr>
        <w:t>主要采用查阅相关文件政策、会计凭证等资料，采集项目资金支出情况、项目完成情况及项目成本构成等数据资料；并通过访谈、社会调查掌握具体情况，对采集的数据做详细的分析和统计</w:t>
      </w:r>
      <w:r>
        <w:rPr>
          <w:lang w:val="zh-TW"/>
        </w:rPr>
        <w:t>。</w:t>
      </w:r>
    </w:p>
    <w:p>
      <w:pPr>
        <w:ind w:firstLine="420"/>
      </w:pPr>
      <w:bookmarkStart w:id="41" w:name="_Toc11994"/>
      <w:r>
        <w:t>（2）实地调研</w:t>
      </w:r>
      <w:bookmarkEnd w:id="41"/>
      <w:r>
        <w:t>和现场勘察</w:t>
      </w:r>
    </w:p>
    <w:p>
      <w:pPr>
        <w:ind w:firstLine="420"/>
        <w:rPr>
          <w:lang w:val="zh-TW"/>
        </w:rPr>
      </w:pPr>
      <w:r>
        <w:rPr>
          <w:lang w:val="zh-TW"/>
        </w:rPr>
        <w:t>项目评价组根据项目实施过程及指标评价需求判断，针对项目</w:t>
      </w:r>
      <w:r>
        <w:t>进行</w:t>
      </w:r>
      <w:r>
        <w:rPr>
          <w:rFonts w:hint="eastAsia"/>
        </w:rPr>
        <w:t>现场访谈和资料调研工作</w:t>
      </w:r>
      <w:r>
        <w:t>。进行</w:t>
      </w:r>
      <w:r>
        <w:rPr>
          <w:lang w:val="zh-TW"/>
        </w:rPr>
        <w:t>实地调研检查项目资金使用情况</w:t>
      </w:r>
      <w:r>
        <w:t>时</w:t>
      </w:r>
      <w:r>
        <w:rPr>
          <w:lang w:val="zh-TW"/>
        </w:rPr>
        <w:t>，</w:t>
      </w:r>
      <w:r>
        <w:t>重点关注资金使用</w:t>
      </w:r>
      <w:r>
        <w:rPr>
          <w:lang w:val="zh-TW" w:eastAsia="zh-TW"/>
        </w:rPr>
        <w:t>是否存在截留、挪用财政专项资金的情况；资金支付审批情况是否合规；资金支付所需材料是否齐备；是否存在擅自改变、扩大支出范围的情况；是否存在擅自提高支出标准、虚列项目支出等情况</w:t>
      </w:r>
      <w:r>
        <w:rPr>
          <w:lang w:val="zh-TW"/>
        </w:rPr>
        <w:t>。</w:t>
      </w:r>
    </w:p>
    <w:p>
      <w:pPr>
        <w:ind w:firstLine="420"/>
      </w:pPr>
      <w:bookmarkStart w:id="42" w:name="_Toc428278235"/>
      <w:bookmarkStart w:id="43" w:name="_Toc419984726"/>
      <w:bookmarkStart w:id="44" w:name="_Toc26870"/>
      <w:r>
        <w:t>（3）问卷</w:t>
      </w:r>
      <w:bookmarkEnd w:id="42"/>
      <w:bookmarkEnd w:id="43"/>
      <w:bookmarkEnd w:id="44"/>
      <w:r>
        <w:t>调研</w:t>
      </w:r>
    </w:p>
    <w:p>
      <w:pPr>
        <w:ind w:firstLine="420"/>
      </w:pPr>
      <w:r>
        <w:t>对有明确受益对象的评价项目，设计满意度调查问卷，对调查对象开展独立第三方调研工作。</w:t>
      </w:r>
      <w:r>
        <w:rPr>
          <w:lang w:val="zh-TW"/>
        </w:rPr>
        <w:t>该项目问卷调查使用抽样的方式，对</w:t>
      </w:r>
      <w:r>
        <w:t>该受益补贴农户等受益人群进行抽样</w:t>
      </w:r>
      <w:r>
        <w:rPr>
          <w:lang w:val="zh-TW"/>
        </w:rPr>
        <w:t>调查，</w:t>
      </w:r>
      <w:r>
        <w:t>项目共发放问卷调查130份，最终收回130份</w:t>
      </w:r>
      <w:r>
        <w:rPr>
          <w:szCs w:val="28"/>
        </w:rPr>
        <w:t>。</w:t>
      </w:r>
    </w:p>
    <w:p>
      <w:pPr>
        <w:pStyle w:val="2"/>
        <w:ind w:firstLine="422"/>
        <w:rPr>
          <w:rFonts w:ascii="Times New Roman" w:hAnsi="Times New Roman"/>
        </w:rPr>
      </w:pPr>
      <w:r>
        <w:rPr>
          <w:rFonts w:ascii="Times New Roman" w:hAnsi="Times New Roman"/>
        </w:rPr>
        <w:t>3.分析评价</w:t>
      </w:r>
    </w:p>
    <w:p>
      <w:pPr>
        <w:ind w:firstLine="420"/>
      </w:pPr>
      <w:r>
        <w:t>2023年6月27日-7月1日</w:t>
      </w:r>
      <w:r>
        <w:rPr>
          <w:kern w:val="0"/>
          <w:szCs w:val="24"/>
        </w:rPr>
        <w:t>，项目绩效评价小组对采集的数据资料进行复核汇总、分类整理和综合分析。按照设立的评价指标、标准、权重、方法实施评价，并形成评价结论</w:t>
      </w:r>
      <w:r>
        <w:t>。</w:t>
      </w:r>
    </w:p>
    <w:p>
      <w:pPr>
        <w:pStyle w:val="2"/>
        <w:ind w:firstLine="422"/>
        <w:rPr>
          <w:rFonts w:ascii="Times New Roman" w:hAnsi="Times New Roman"/>
        </w:rPr>
      </w:pPr>
      <w:bookmarkStart w:id="45" w:name="_Toc2618"/>
      <w:r>
        <w:rPr>
          <w:rFonts w:ascii="Times New Roman" w:hAnsi="Times New Roman"/>
        </w:rPr>
        <w:t>4.撰写评价报告</w:t>
      </w:r>
      <w:bookmarkEnd w:id="45"/>
    </w:p>
    <w:p>
      <w:pPr>
        <w:ind w:firstLine="420"/>
      </w:pPr>
      <w:r>
        <w:rPr>
          <w:szCs w:val="28"/>
          <w:lang w:val="zh-TW" w:eastAsia="zh-TW"/>
        </w:rPr>
        <w:t>2023年7月1日-7月13日</w:t>
      </w:r>
      <w:r>
        <w:rPr>
          <w:szCs w:val="28"/>
          <w:lang w:val="zh-TW"/>
        </w:rPr>
        <w:t>，</w:t>
      </w:r>
      <w:r>
        <w:rPr>
          <w:szCs w:val="28"/>
          <w:lang w:val="zh-TW" w:eastAsia="zh-TW"/>
        </w:rPr>
        <w:t>项目评价组根据绩效评价的原理，对收集的数据汇总和分析，撰写绩效评价报告，</w:t>
      </w:r>
      <w:r>
        <w:rPr>
          <w:szCs w:val="28"/>
        </w:rPr>
        <w:t>形成绩效评价报告初稿，征求项目实施单位意见，双方意见达成一致后</w:t>
      </w:r>
      <w:r>
        <w:rPr>
          <w:szCs w:val="28"/>
          <w:lang w:val="zh-TW" w:eastAsia="zh-TW"/>
        </w:rPr>
        <w:t>在规定时间内上报</w:t>
      </w:r>
      <w:r>
        <w:rPr>
          <w:szCs w:val="28"/>
        </w:rPr>
        <w:t>巴楚县财政局</w:t>
      </w:r>
      <w:r>
        <w:t>。</w:t>
      </w:r>
    </w:p>
    <w:p>
      <w:pPr>
        <w:pStyle w:val="2"/>
        <w:ind w:firstLine="422"/>
        <w:rPr>
          <w:rFonts w:ascii="Times New Roman" w:hAnsi="Times New Roman"/>
        </w:rPr>
      </w:pPr>
      <w:bookmarkStart w:id="46" w:name="_Toc5055"/>
      <w:r>
        <w:rPr>
          <w:rFonts w:ascii="Times New Roman" w:hAnsi="Times New Roman"/>
        </w:rPr>
        <w:t>5.</w:t>
      </w:r>
      <w:bookmarkEnd w:id="46"/>
      <w:r>
        <w:rPr>
          <w:rFonts w:ascii="Times New Roman" w:hAnsi="Times New Roman"/>
        </w:rPr>
        <w:t>报告意见反馈及沟通情况</w:t>
      </w:r>
    </w:p>
    <w:p>
      <w:pPr>
        <w:ind w:firstLine="420"/>
      </w:pPr>
      <w:r>
        <w:t>我单位于202</w:t>
      </w:r>
      <w:r>
        <w:rPr>
          <w:rFonts w:hint="eastAsia"/>
        </w:rPr>
        <w:t>3</w:t>
      </w:r>
      <w:r>
        <w:t>年</w:t>
      </w:r>
      <w:r>
        <w:rPr>
          <w:rFonts w:hint="eastAsia"/>
        </w:rPr>
        <w:t>7</w:t>
      </w:r>
      <w:r>
        <w:t>月</w:t>
      </w:r>
      <w:r>
        <w:rPr>
          <w:rFonts w:hint="eastAsia"/>
        </w:rPr>
        <w:t>27</w:t>
      </w:r>
      <w:r>
        <w:t>日将《绩效评价报告意见反馈表》《</w:t>
      </w:r>
      <w:r>
        <w:rPr>
          <w:rFonts w:hint="eastAsia"/>
        </w:rPr>
        <w:t>2022年农业机械购置补贴</w:t>
      </w:r>
      <w:r>
        <w:t>项目绩效评价报告（征求意见稿）》报送至</w:t>
      </w:r>
      <w:r>
        <w:rPr>
          <w:rFonts w:hint="eastAsia"/>
        </w:rPr>
        <w:t>巴楚县农业农村机械化发展中心</w:t>
      </w:r>
      <w:r>
        <w:t>。</w:t>
      </w:r>
    </w:p>
    <w:p>
      <w:pPr>
        <w:ind w:firstLine="420"/>
      </w:pPr>
      <w:r>
        <w:rPr>
          <w:rFonts w:hint="eastAsia"/>
        </w:rPr>
        <w:t>巴楚县农业农村机械化发展中心和巴楚县财政局已反馈绩效评价报告的审核意见，反馈意见为无意见，详细见</w:t>
      </w:r>
      <w:r>
        <w:rPr>
          <w:rFonts w:hint="eastAsia"/>
          <w:lang w:eastAsia="zh-CN"/>
        </w:rPr>
        <w:t>“</w:t>
      </w:r>
      <w:r>
        <w:rPr>
          <w:rFonts w:hint="eastAsia"/>
        </w:rPr>
        <w:t>附件4：《绩效评价报告意见反馈表》</w:t>
      </w:r>
      <w:r>
        <w:rPr>
          <w:rFonts w:hint="eastAsia"/>
          <w:lang w:eastAsia="zh-CN"/>
        </w:rPr>
        <w:t>”</w:t>
      </w:r>
      <w:r>
        <w:rPr>
          <w:rFonts w:hint="eastAsia"/>
        </w:rPr>
        <w:t>。</w:t>
      </w:r>
    </w:p>
    <w:p>
      <w:pPr>
        <w:pStyle w:val="2"/>
        <w:ind w:firstLine="422"/>
        <w:rPr>
          <w:rFonts w:ascii="Times New Roman" w:hAnsi="Times New Roman"/>
        </w:rPr>
      </w:pPr>
      <w:r>
        <w:rPr>
          <w:rFonts w:ascii="Times New Roman" w:hAnsi="Times New Roman"/>
        </w:rPr>
        <w:t>6.专家评审</w:t>
      </w:r>
    </w:p>
    <w:p>
      <w:pPr>
        <w:ind w:firstLine="420"/>
      </w:pPr>
      <w:r>
        <w:t>由巴楚县财政局牵头各行业领域专家，开展绩效评价报告评审工作。项目评价组根据巴楚县财政局以及专家评审意见，将绩效评价报告修改完善，最终形成绩效评价报告定稿。</w:t>
      </w:r>
    </w:p>
    <w:p>
      <w:pPr>
        <w:pStyle w:val="5"/>
        <w:spacing w:line="360" w:lineRule="auto"/>
        <w:ind w:firstLine="482"/>
        <w:rPr>
          <w:rFonts w:ascii="Times New Roman" w:hAnsi="Times New Roman"/>
        </w:rPr>
      </w:pPr>
      <w:bookmarkStart w:id="47" w:name="_Toc6209"/>
      <w:bookmarkStart w:id="48" w:name="_Toc68364664"/>
      <w:r>
        <w:rPr>
          <w:rFonts w:ascii="Times New Roman" w:hAnsi="Times New Roman"/>
        </w:rPr>
        <w:t>三、综合评价情况及评价结论</w:t>
      </w:r>
      <w:bookmarkEnd w:id="47"/>
      <w:bookmarkEnd w:id="48"/>
    </w:p>
    <w:p>
      <w:pPr>
        <w:ind w:firstLine="420"/>
      </w:pPr>
      <w:r>
        <w:rPr>
          <w:lang w:val="zh-TW" w:eastAsia="zh-TW"/>
        </w:rPr>
        <w:t>通过调研、数据分析、访谈等方式，根据</w:t>
      </w:r>
      <w:r>
        <w:t>绩效评价</w:t>
      </w:r>
      <w:r>
        <w:rPr>
          <w:lang w:val="zh-TW" w:eastAsia="zh-TW"/>
        </w:rPr>
        <w:t>方案确定的指标体系及评分标准，对</w:t>
      </w:r>
      <w:r>
        <w:rPr>
          <w:rFonts w:hint="eastAsia"/>
          <w:lang w:val="zh-TW" w:eastAsia="zh-CN"/>
        </w:rPr>
        <w:t>“</w:t>
      </w:r>
      <w:r>
        <w:t>2022年农业机械购置补贴项目</w:t>
      </w:r>
      <w:r>
        <w:rPr>
          <w:rFonts w:hint="eastAsia"/>
          <w:lang w:val="zh-TW" w:eastAsia="zh-CN"/>
        </w:rPr>
        <w:t>”</w:t>
      </w:r>
      <w:r>
        <w:rPr>
          <w:lang w:val="zh-TW" w:eastAsia="zh-TW"/>
        </w:rPr>
        <w:t>绩效进行客观评价，得出综合评价结论如下：</w:t>
      </w:r>
      <w:r>
        <w:t>2022年农业机械购置补贴项目</w:t>
      </w:r>
      <w:r>
        <w:rPr>
          <w:lang w:val="zh-TW" w:eastAsia="zh-TW"/>
        </w:rPr>
        <w:t>共设置绩效目标</w:t>
      </w:r>
      <w:r>
        <w:t>22</w:t>
      </w:r>
      <w:r>
        <w:rPr>
          <w:lang w:val="zh-TW" w:eastAsia="zh-TW"/>
        </w:rPr>
        <w:t>个，实现目标</w:t>
      </w:r>
      <w:r>
        <w:t>19</w:t>
      </w:r>
      <w:r>
        <w:rPr>
          <w:lang w:val="zh-TW" w:eastAsia="zh-TW"/>
        </w:rPr>
        <w:t>个，完成率</w:t>
      </w:r>
      <w:r>
        <w:t>86.36</w:t>
      </w:r>
      <w:r>
        <w:rPr>
          <w:lang w:val="zh-TW" w:eastAsia="zh-TW"/>
        </w:rPr>
        <w:t>%。</w:t>
      </w:r>
      <w:r>
        <w:t>项目</w:t>
      </w:r>
      <w:r>
        <w:rPr>
          <w:lang w:val="zh-TW" w:eastAsia="zh-TW"/>
        </w:rPr>
        <w:t>决策指标共设置</w:t>
      </w:r>
      <w:r>
        <w:t>6</w:t>
      </w:r>
      <w:r>
        <w:rPr>
          <w:lang w:val="zh-TW" w:eastAsia="zh-TW"/>
        </w:rPr>
        <w:t>个，满分指标</w:t>
      </w:r>
      <w:r>
        <w:t>5</w:t>
      </w:r>
      <w:r>
        <w:rPr>
          <w:lang w:val="zh-TW" w:eastAsia="zh-TW"/>
        </w:rPr>
        <w:t>个，得分率</w:t>
      </w:r>
      <w:r>
        <w:t>96.00%</w:t>
      </w:r>
      <w:r>
        <w:rPr>
          <w:lang w:val="zh-TW" w:eastAsia="zh-TW"/>
        </w:rPr>
        <w:t>；</w:t>
      </w:r>
      <w:r>
        <w:t>项目过程</w:t>
      </w:r>
      <w:r>
        <w:rPr>
          <w:lang w:val="zh-TW" w:eastAsia="zh-TW"/>
        </w:rPr>
        <w:t>指标共设置</w:t>
      </w:r>
      <w:r>
        <w:t>5</w:t>
      </w:r>
      <w:r>
        <w:rPr>
          <w:lang w:val="zh-TW" w:eastAsia="zh-TW"/>
        </w:rPr>
        <w:t>个，满分指标</w:t>
      </w:r>
      <w:r>
        <w:t>4</w:t>
      </w:r>
      <w:r>
        <w:rPr>
          <w:lang w:val="zh-TW" w:eastAsia="zh-TW"/>
        </w:rPr>
        <w:t>个，得分率</w:t>
      </w:r>
      <w:r>
        <w:t>96.00%</w:t>
      </w:r>
      <w:r>
        <w:rPr>
          <w:lang w:val="zh-TW" w:eastAsia="zh-TW"/>
        </w:rPr>
        <w:t>；</w:t>
      </w:r>
      <w:r>
        <w:t>项目产出</w:t>
      </w:r>
      <w:r>
        <w:rPr>
          <w:lang w:val="zh-TW" w:eastAsia="zh-TW"/>
        </w:rPr>
        <w:t>指标共设置</w:t>
      </w:r>
      <w:r>
        <w:t>8</w:t>
      </w:r>
      <w:r>
        <w:rPr>
          <w:lang w:val="zh-TW" w:eastAsia="zh-TW"/>
        </w:rPr>
        <w:t>个，满分指标</w:t>
      </w:r>
      <w:r>
        <w:t>7</w:t>
      </w:r>
      <w:r>
        <w:rPr>
          <w:lang w:val="zh-TW" w:eastAsia="zh-TW"/>
        </w:rPr>
        <w:t>个，得分率</w:t>
      </w:r>
      <w:r>
        <w:t>99.97%；项目效益</w:t>
      </w:r>
      <w:r>
        <w:rPr>
          <w:lang w:val="zh-TW" w:eastAsia="zh-TW"/>
        </w:rPr>
        <w:t>指标共设置</w:t>
      </w:r>
      <w:r>
        <w:t>3</w:t>
      </w:r>
      <w:r>
        <w:rPr>
          <w:lang w:val="zh-TW" w:eastAsia="zh-TW"/>
        </w:rPr>
        <w:t>个，满分指标</w:t>
      </w:r>
      <w:r>
        <w:t>3</w:t>
      </w:r>
      <w:r>
        <w:rPr>
          <w:lang w:val="zh-TW" w:eastAsia="zh-TW"/>
        </w:rPr>
        <w:t>个，得分率</w:t>
      </w:r>
      <w:r>
        <w:t>100.00%</w:t>
      </w:r>
      <w:r>
        <w:rPr>
          <w:lang w:val="zh-TW"/>
        </w:rPr>
        <w:t>。</w:t>
      </w:r>
      <w:r>
        <w:t>经评价分析，</w:t>
      </w:r>
      <w:r>
        <w:rPr>
          <w:lang w:val="zh-TW" w:eastAsia="zh-TW"/>
        </w:rPr>
        <w:t>该项目项目</w:t>
      </w:r>
      <w:r>
        <w:t>组织</w:t>
      </w:r>
      <w:r>
        <w:rPr>
          <w:lang w:val="zh-TW" w:eastAsia="zh-TW"/>
        </w:rPr>
        <w:t>管理方面比较规范，</w:t>
      </w:r>
      <w:r>
        <w:t>农机购置补贴及农机报废补贴发放</w:t>
      </w:r>
      <w:r>
        <w:rPr>
          <w:lang w:val="zh-TW" w:eastAsia="zh-TW"/>
        </w:rPr>
        <w:t>完成情况良好，实现了</w:t>
      </w:r>
      <w:r>
        <w:t>提高农业机械化生产和社会化服务水平，促进农机科技进步等</w:t>
      </w:r>
      <w:r>
        <w:rPr>
          <w:lang w:val="zh-TW" w:eastAsia="zh-TW"/>
        </w:rPr>
        <w:t>预期目标。最终评分结果为</w:t>
      </w:r>
      <w:r>
        <w:t>98.59</w:t>
      </w:r>
      <w:r>
        <w:rPr>
          <w:lang w:val="zh-TW" w:eastAsia="zh-TW"/>
        </w:rPr>
        <w:t>分，绩效评级为</w:t>
      </w:r>
      <w:r>
        <w:rPr>
          <w:rFonts w:hint="eastAsia"/>
          <w:lang w:val="zh-TW" w:eastAsia="zh-CN"/>
        </w:rPr>
        <w:t>“</w:t>
      </w:r>
      <w:r>
        <w:t>优</w:t>
      </w:r>
      <w:r>
        <w:rPr>
          <w:rFonts w:hint="eastAsia"/>
          <w:lang w:val="zh-TW" w:eastAsia="zh-CN"/>
        </w:rPr>
        <w:t>”</w:t>
      </w:r>
      <w:r>
        <w:rPr>
          <w:lang w:val="zh-TW" w:eastAsia="zh-TW"/>
        </w:rPr>
        <w:t>。各部分权重和绩效分值如下表</w:t>
      </w:r>
      <w:r>
        <w:rPr>
          <w:lang w:val="zh-TW"/>
        </w:rPr>
        <w:t>：</w:t>
      </w:r>
    </w:p>
    <w:p>
      <w:pPr>
        <w:pStyle w:val="31"/>
        <w:spacing w:before="0" w:after="0"/>
        <w:jc w:val="center"/>
        <w:rPr>
          <w:rFonts w:hAnsi="Times New Roman" w:eastAsia="黑体" w:cs="Times New Roman"/>
          <w:bCs/>
          <w:color w:val="auto"/>
          <w:sz w:val="21"/>
          <w:szCs w:val="21"/>
        </w:rPr>
      </w:pPr>
      <w:r>
        <w:rPr>
          <w:rFonts w:hAnsi="Times New Roman" w:eastAsia="黑体" w:cs="Times New Roman"/>
          <w:bCs/>
          <w:color w:val="auto"/>
          <w:sz w:val="21"/>
          <w:szCs w:val="21"/>
          <w:lang w:val="zh-TW" w:eastAsia="zh-TW"/>
        </w:rPr>
        <w:t>表3-1</w:t>
      </w:r>
      <w:r>
        <w:rPr>
          <w:rFonts w:hAnsi="Times New Roman" w:eastAsia="黑体" w:cs="Times New Roman"/>
          <w:bCs/>
          <w:color w:val="auto"/>
          <w:sz w:val="21"/>
          <w:szCs w:val="21"/>
          <w:lang w:val="zh-TW"/>
        </w:rPr>
        <w:t>：2022年农业机械购置补贴项目得分表</w:t>
      </w:r>
    </w:p>
    <w:tbl>
      <w:tblPr>
        <w:tblStyle w:val="20"/>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1.</w:t>
            </w:r>
            <w:r>
              <w:rPr>
                <w:rFonts w:hAnsi="Times New Roman" w:eastAsia="宋体" w:cs="Times New Roman"/>
                <w:b/>
                <w:bCs/>
                <w:color w:val="auto"/>
                <w:sz w:val="21"/>
                <w:szCs w:val="21"/>
                <w:lang w:val="zh-TW" w:eastAsia="zh-TW"/>
              </w:rPr>
              <w:t>项目决策类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2.</w:t>
            </w: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过程</w:t>
            </w:r>
            <w:r>
              <w:rPr>
                <w:rFonts w:hAnsi="Times New Roman" w:eastAsia="宋体" w:cs="Times New Roman"/>
                <w:b/>
                <w:bCs/>
                <w:color w:val="auto"/>
                <w:sz w:val="21"/>
                <w:szCs w:val="21"/>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3.</w:t>
            </w: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产出</w:t>
            </w:r>
            <w:r>
              <w:rPr>
                <w:rFonts w:hAnsi="Times New Roman" w:eastAsia="宋体" w:cs="Times New Roman"/>
                <w:b/>
                <w:bCs/>
                <w:color w:val="auto"/>
                <w:sz w:val="21"/>
                <w:szCs w:val="21"/>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lang w:val="zh-TW" w:eastAsia="zh-TW"/>
              </w:rPr>
            </w:pPr>
            <w:r>
              <w:rPr>
                <w:rFonts w:hAnsi="Times New Roman" w:eastAsia="宋体" w:cs="Times New Roman"/>
                <w:b/>
                <w:bCs/>
                <w:color w:val="auto"/>
                <w:sz w:val="21"/>
                <w:szCs w:val="21"/>
              </w:rPr>
              <w:t>4</w:t>
            </w:r>
            <w:r>
              <w:rPr>
                <w:rFonts w:hAnsi="Times New Roman" w:eastAsia="宋体" w:cs="Times New Roman"/>
                <w:b/>
                <w:bCs/>
                <w:color w:val="auto"/>
                <w:sz w:val="21"/>
                <w:szCs w:val="21"/>
                <w:lang w:val="zh-TW" w:eastAsia="zh-TW"/>
              </w:rPr>
              <w:t>.项目</w:t>
            </w:r>
            <w:r>
              <w:rPr>
                <w:rFonts w:hAnsi="Times New Roman" w:eastAsia="宋体" w:cs="Times New Roman"/>
                <w:b/>
                <w:bCs/>
                <w:color w:val="auto"/>
                <w:sz w:val="21"/>
                <w:szCs w:val="21"/>
              </w:rPr>
              <w:t>效益</w:t>
            </w:r>
            <w:r>
              <w:rPr>
                <w:rFonts w:hAnsi="Times New Roman" w:eastAsia="宋体" w:cs="Times New Roman"/>
                <w:b/>
                <w:bCs/>
                <w:color w:val="auto"/>
                <w:sz w:val="21"/>
                <w:szCs w:val="21"/>
                <w:lang w:val="zh-TW" w:eastAsia="zh-TW"/>
              </w:rPr>
              <w:t>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lang w:val="zh-TW" w:eastAsia="zh-TW"/>
              </w:rPr>
              <w:t>权重</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10.00</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25.00</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35.00</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30.00</w:t>
            </w:r>
          </w:p>
        </w:tc>
        <w:tc>
          <w:tcPr>
            <w:tcW w:w="666"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得分</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9.60</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24.00</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34.99</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30.00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98.59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b/>
                <w:bCs/>
                <w:color w:val="auto"/>
                <w:sz w:val="21"/>
                <w:szCs w:val="21"/>
              </w:rPr>
            </w:pPr>
            <w:r>
              <w:rPr>
                <w:rFonts w:hAnsi="Times New Roman" w:eastAsia="宋体" w:cs="Times New Roman"/>
                <w:b/>
                <w:bCs/>
                <w:color w:val="auto"/>
                <w:sz w:val="21"/>
                <w:szCs w:val="21"/>
              </w:rPr>
              <w:t>得分率</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96.00%</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96.00%</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99.97%</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100.00%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1"/>
              <w:snapToGrid w:val="0"/>
              <w:spacing w:before="0" w:after="0" w:line="240" w:lineRule="auto"/>
              <w:jc w:val="center"/>
              <w:rPr>
                <w:rFonts w:hAnsi="Times New Roman" w:eastAsia="宋体" w:cs="Times New Roman"/>
                <w:color w:val="auto"/>
                <w:sz w:val="21"/>
                <w:szCs w:val="21"/>
              </w:rPr>
            </w:pPr>
            <w:r>
              <w:rPr>
                <w:rFonts w:hAnsi="Times New Roman" w:eastAsia="宋体" w:cs="Times New Roman"/>
                <w:color w:val="auto"/>
                <w:sz w:val="21"/>
                <w:szCs w:val="21"/>
              </w:rPr>
              <w:t>98.59%</w:t>
            </w:r>
          </w:p>
        </w:tc>
      </w:tr>
    </w:tbl>
    <w:p>
      <w:pPr>
        <w:pStyle w:val="5"/>
        <w:spacing w:line="300" w:lineRule="exact"/>
        <w:ind w:firstLine="482"/>
        <w:rPr>
          <w:rFonts w:ascii="Times New Roman" w:hAnsi="Times New Roman"/>
        </w:rPr>
      </w:pPr>
      <w:bookmarkStart w:id="49" w:name="_Toc22544"/>
      <w:bookmarkStart w:id="50" w:name="_Toc535"/>
      <w:bookmarkStart w:id="51" w:name="_Toc4510"/>
    </w:p>
    <w:p>
      <w:pPr>
        <w:pStyle w:val="5"/>
        <w:spacing w:line="360" w:lineRule="auto"/>
        <w:ind w:firstLine="482"/>
        <w:rPr>
          <w:rFonts w:ascii="Times New Roman" w:hAnsi="Times New Roman"/>
        </w:rPr>
      </w:pPr>
      <w:r>
        <w:rPr>
          <w:rFonts w:ascii="Times New Roman" w:hAnsi="Times New Roman"/>
        </w:rPr>
        <w:t>四、绩效评价指标分析</w:t>
      </w:r>
      <w:bookmarkEnd w:id="49"/>
      <w:bookmarkEnd w:id="50"/>
      <w:bookmarkEnd w:id="51"/>
    </w:p>
    <w:p>
      <w:pPr>
        <w:pStyle w:val="6"/>
        <w:ind w:firstLine="482"/>
        <w:rPr>
          <w:rFonts w:ascii="Times New Roman" w:hAnsi="Times New Roman"/>
        </w:rPr>
      </w:pPr>
      <w:bookmarkStart w:id="52" w:name="_Toc22260"/>
      <w:bookmarkStart w:id="53" w:name="_Toc25886"/>
      <w:bookmarkStart w:id="54" w:name="_Toc18078"/>
      <w:r>
        <w:rPr>
          <w:rFonts w:ascii="Times New Roman" w:hAnsi="Times New Roman"/>
        </w:rPr>
        <w:t>（一）项目决策情况</w:t>
      </w:r>
      <w:bookmarkEnd w:id="52"/>
      <w:bookmarkEnd w:id="53"/>
      <w:bookmarkEnd w:id="54"/>
    </w:p>
    <w:p>
      <w:pPr>
        <w:adjustRightInd/>
        <w:ind w:firstLine="420"/>
      </w:pPr>
      <w:r>
        <w:t>项目决策类指标由3个二级指标和6个三级指标构成，权重分10.00分，实际得分9.60分，得分率为96.00%。各指标业绩值和绩效分值如下表所示：</w:t>
      </w:r>
    </w:p>
    <w:p>
      <w:pPr>
        <w:ind w:firstLine="0" w:firstLineChars="0"/>
        <w:jc w:val="center"/>
        <w:rPr>
          <w:b/>
          <w:bCs/>
          <w:szCs w:val="16"/>
        </w:rPr>
      </w:pPr>
      <w:r>
        <w:rPr>
          <w:b/>
          <w:bCs/>
          <w:szCs w:val="16"/>
        </w:rPr>
        <w:t>表4-1：项目决策类指标及分值</w:t>
      </w:r>
    </w:p>
    <w:tbl>
      <w:tblPr>
        <w:tblStyle w:val="20"/>
        <w:tblW w:w="4998" w:type="pct"/>
        <w:tblInd w:w="0" w:type="dxa"/>
        <w:tblLayout w:type="autofit"/>
        <w:tblCellMar>
          <w:top w:w="0" w:type="dxa"/>
          <w:left w:w="0" w:type="dxa"/>
          <w:bottom w:w="0" w:type="dxa"/>
          <w:right w:w="0" w:type="dxa"/>
        </w:tblCellMar>
      </w:tblPr>
      <w:tblGrid>
        <w:gridCol w:w="1081"/>
        <w:gridCol w:w="1068"/>
        <w:gridCol w:w="1849"/>
        <w:gridCol w:w="968"/>
        <w:gridCol w:w="1028"/>
        <w:gridCol w:w="763"/>
        <w:gridCol w:w="785"/>
        <w:gridCol w:w="785"/>
      </w:tblGrid>
      <w:tr>
        <w:tblPrEx>
          <w:tblCellMar>
            <w:top w:w="0" w:type="dxa"/>
            <w:left w:w="0" w:type="dxa"/>
            <w:bottom w:w="0" w:type="dxa"/>
            <w:right w:w="0" w:type="dxa"/>
          </w:tblCellMar>
        </w:tblPrEx>
        <w:trPr>
          <w:trHeight w:val="288" w:hRule="atLeast"/>
          <w:tblHeader/>
        </w:trPr>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b/>
                <w:sz w:val="20"/>
                <w:szCs w:val="20"/>
              </w:rPr>
            </w:pPr>
            <w:r>
              <w:rPr>
                <w:rFonts w:eastAsia="宋体"/>
                <w:b/>
                <w:kern w:val="0"/>
                <w:sz w:val="20"/>
                <w:szCs w:val="20"/>
                <w:lang w:bidi="ar"/>
              </w:rPr>
              <w:t>一级指标</w:t>
            </w:r>
          </w:p>
        </w:tc>
        <w:tc>
          <w:tcPr>
            <w:tcW w:w="6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b/>
                <w:sz w:val="20"/>
                <w:szCs w:val="20"/>
              </w:rPr>
            </w:pPr>
            <w:r>
              <w:rPr>
                <w:rFonts w:eastAsia="宋体"/>
                <w:b/>
                <w:kern w:val="0"/>
                <w:sz w:val="20"/>
                <w:szCs w:val="20"/>
                <w:lang w:bidi="ar"/>
              </w:rPr>
              <w:t>二级指标</w:t>
            </w:r>
          </w:p>
        </w:tc>
        <w:tc>
          <w:tcPr>
            <w:tcW w:w="111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b/>
                <w:sz w:val="20"/>
                <w:szCs w:val="20"/>
              </w:rPr>
            </w:pPr>
            <w:r>
              <w:rPr>
                <w:rFonts w:eastAsia="宋体"/>
                <w:b/>
                <w:kern w:val="0"/>
                <w:sz w:val="20"/>
                <w:szCs w:val="20"/>
                <w:lang w:bidi="ar"/>
              </w:rPr>
              <w:t>三级指标</w:t>
            </w:r>
          </w:p>
        </w:tc>
        <w:tc>
          <w:tcPr>
            <w:tcW w:w="5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b/>
                <w:sz w:val="20"/>
                <w:szCs w:val="20"/>
              </w:rPr>
            </w:pPr>
            <w:r>
              <w:rPr>
                <w:rFonts w:eastAsia="宋体"/>
                <w:b/>
                <w:kern w:val="0"/>
                <w:sz w:val="20"/>
                <w:szCs w:val="20"/>
                <w:lang w:bidi="ar"/>
              </w:rPr>
              <w:t>目标值</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b/>
                <w:kern w:val="0"/>
                <w:sz w:val="20"/>
                <w:szCs w:val="20"/>
                <w:lang w:bidi="ar"/>
              </w:rPr>
            </w:pPr>
            <w:r>
              <w:rPr>
                <w:rFonts w:eastAsia="宋体"/>
                <w:b/>
                <w:kern w:val="0"/>
                <w:sz w:val="20"/>
                <w:szCs w:val="20"/>
                <w:lang w:bidi="ar"/>
              </w:rPr>
              <w:t>实际完成值</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b/>
                <w:sz w:val="20"/>
                <w:szCs w:val="20"/>
              </w:rPr>
            </w:pPr>
            <w:r>
              <w:rPr>
                <w:rFonts w:eastAsia="宋体"/>
                <w:b/>
                <w:kern w:val="0"/>
                <w:sz w:val="20"/>
                <w:szCs w:val="20"/>
                <w:lang w:bidi="ar"/>
              </w:rPr>
              <w:t>权重</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b/>
                <w:sz w:val="20"/>
                <w:szCs w:val="20"/>
              </w:rPr>
            </w:pPr>
            <w:r>
              <w:rPr>
                <w:rFonts w:eastAsia="宋体"/>
                <w:b/>
                <w:kern w:val="0"/>
                <w:sz w:val="20"/>
                <w:szCs w:val="20"/>
                <w:lang w:bidi="ar"/>
              </w:rPr>
              <w:t>得分</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b/>
                <w:kern w:val="0"/>
                <w:sz w:val="20"/>
                <w:szCs w:val="20"/>
                <w:lang w:bidi="ar"/>
              </w:rPr>
            </w:pPr>
            <w:r>
              <w:rPr>
                <w:rFonts w:eastAsia="宋体"/>
                <w:b/>
                <w:kern w:val="0"/>
                <w:sz w:val="20"/>
                <w:szCs w:val="20"/>
                <w:lang w:bidi="ar"/>
              </w:rPr>
              <w:t>得分率</w:t>
            </w:r>
          </w:p>
        </w:tc>
      </w:tr>
      <w:tr>
        <w:tblPrEx>
          <w:tblCellMar>
            <w:top w:w="0" w:type="dxa"/>
            <w:left w:w="0" w:type="dxa"/>
            <w:bottom w:w="0" w:type="dxa"/>
            <w:right w:w="0" w:type="dxa"/>
          </w:tblCellMar>
        </w:tblPrEx>
        <w:trPr>
          <w:trHeight w:val="90" w:hRule="atLeast"/>
        </w:trPr>
        <w:tc>
          <w:tcPr>
            <w:tcW w:w="649"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A决策</w:t>
            </w:r>
            <w:r>
              <w:rPr>
                <w:rFonts w:eastAsia="宋体"/>
                <w:kern w:val="0"/>
                <w:sz w:val="20"/>
                <w:szCs w:val="20"/>
                <w:lang w:bidi="ar"/>
              </w:rPr>
              <w:br w:type="textWrapping"/>
            </w:r>
            <w:r>
              <w:rPr>
                <w:rFonts w:eastAsia="宋体"/>
                <w:kern w:val="0"/>
                <w:sz w:val="20"/>
                <w:szCs w:val="20"/>
                <w:lang w:bidi="ar"/>
              </w:rPr>
              <w:t>（10.00分）　</w:t>
            </w:r>
          </w:p>
        </w:tc>
        <w:tc>
          <w:tcPr>
            <w:tcW w:w="641"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A1项目立项（3.00分）　</w:t>
            </w:r>
          </w:p>
        </w:tc>
        <w:tc>
          <w:tcPr>
            <w:tcW w:w="111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A11立项依据充分性</w:t>
            </w:r>
          </w:p>
        </w:tc>
        <w:tc>
          <w:tcPr>
            <w:tcW w:w="5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充分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充分</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1.50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1.50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abs>
                <w:tab w:val="left" w:pos="203"/>
              </w:tabs>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100.00%</w:t>
            </w:r>
          </w:p>
        </w:tc>
      </w:tr>
      <w:tr>
        <w:tblPrEx>
          <w:tblCellMar>
            <w:top w:w="0" w:type="dxa"/>
            <w:left w:w="0" w:type="dxa"/>
            <w:bottom w:w="0" w:type="dxa"/>
            <w:right w:w="0" w:type="dxa"/>
          </w:tblCellMar>
        </w:tblPrEx>
        <w:trPr>
          <w:trHeight w:val="90" w:hRule="atLeast"/>
        </w:trPr>
        <w:tc>
          <w:tcPr>
            <w:tcW w:w="64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p>
        </w:tc>
        <w:tc>
          <w:tcPr>
            <w:tcW w:w="111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A12立项程序规范性</w:t>
            </w:r>
          </w:p>
        </w:tc>
        <w:tc>
          <w:tcPr>
            <w:tcW w:w="5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合规</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合规</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1.50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1.50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p>
        </w:tc>
        <w:tc>
          <w:tcPr>
            <w:tcW w:w="641"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A2绩效目标（4.00分）</w:t>
            </w:r>
          </w:p>
        </w:tc>
        <w:tc>
          <w:tcPr>
            <w:tcW w:w="111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A21绩效目标合理性</w:t>
            </w:r>
          </w:p>
        </w:tc>
        <w:tc>
          <w:tcPr>
            <w:tcW w:w="5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合理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合理</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2.00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2.00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p>
        </w:tc>
        <w:tc>
          <w:tcPr>
            <w:tcW w:w="111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A22绩效指标明确性</w:t>
            </w:r>
          </w:p>
        </w:tc>
        <w:tc>
          <w:tcPr>
            <w:tcW w:w="5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明确</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较明确</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2.00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1.60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80.00%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p>
        </w:tc>
        <w:tc>
          <w:tcPr>
            <w:tcW w:w="641"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A3资金投入（3.00分）　</w:t>
            </w:r>
          </w:p>
        </w:tc>
        <w:tc>
          <w:tcPr>
            <w:tcW w:w="111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A31预算编制科学性</w:t>
            </w:r>
          </w:p>
        </w:tc>
        <w:tc>
          <w:tcPr>
            <w:tcW w:w="5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科学</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科学</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1.50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1.50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CellMar>
            <w:top w:w="0" w:type="dxa"/>
            <w:left w:w="0" w:type="dxa"/>
            <w:bottom w:w="0" w:type="dxa"/>
            <w:right w:w="0" w:type="dxa"/>
          </w:tblCellMar>
        </w:tblPrEx>
        <w:trPr>
          <w:trHeight w:val="136" w:hRule="atLeast"/>
        </w:trPr>
        <w:tc>
          <w:tcPr>
            <w:tcW w:w="64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p>
        </w:tc>
        <w:tc>
          <w:tcPr>
            <w:tcW w:w="111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left"/>
              <w:textAlignment w:val="center"/>
              <w:rPr>
                <w:rFonts w:eastAsia="宋体"/>
                <w:kern w:val="0"/>
                <w:sz w:val="20"/>
                <w:szCs w:val="20"/>
                <w:lang w:bidi="ar"/>
              </w:rPr>
            </w:pPr>
            <w:r>
              <w:rPr>
                <w:rFonts w:eastAsia="宋体"/>
                <w:kern w:val="0"/>
                <w:sz w:val="20"/>
                <w:szCs w:val="20"/>
                <w:lang w:bidi="ar"/>
              </w:rPr>
              <w:t>A32资金分配合理性</w:t>
            </w:r>
          </w:p>
        </w:tc>
        <w:tc>
          <w:tcPr>
            <w:tcW w:w="5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合理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合理</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1.50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1.50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CellMar>
            <w:top w:w="0" w:type="dxa"/>
            <w:left w:w="0" w:type="dxa"/>
            <w:bottom w:w="0" w:type="dxa"/>
            <w:right w:w="0" w:type="dxa"/>
          </w:tblCellMar>
        </w:tblPrEx>
        <w:trPr>
          <w:trHeight w:val="90" w:hRule="atLeast"/>
        </w:trPr>
        <w:tc>
          <w:tcPr>
            <w:tcW w:w="2400"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合计</w:t>
            </w:r>
          </w:p>
        </w:tc>
        <w:tc>
          <w:tcPr>
            <w:tcW w:w="5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10.00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9.60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adjustRightInd/>
              <w:snapToGrid/>
              <w:spacing w:line="300" w:lineRule="auto"/>
              <w:ind w:firstLine="0" w:firstLineChars="0"/>
              <w:jc w:val="center"/>
              <w:textAlignment w:val="center"/>
              <w:rPr>
                <w:rFonts w:eastAsia="宋体"/>
                <w:kern w:val="0"/>
                <w:sz w:val="20"/>
                <w:szCs w:val="20"/>
                <w:lang w:bidi="ar"/>
              </w:rPr>
            </w:pPr>
            <w:r>
              <w:rPr>
                <w:rFonts w:eastAsia="宋体"/>
                <w:kern w:val="0"/>
                <w:sz w:val="20"/>
                <w:szCs w:val="20"/>
                <w:lang w:bidi="ar"/>
              </w:rPr>
              <w:t>96.00%</w:t>
            </w:r>
          </w:p>
        </w:tc>
      </w:tr>
    </w:tbl>
    <w:p>
      <w:pPr>
        <w:ind w:firstLine="422"/>
        <w:rPr>
          <w:b/>
          <w:bCs/>
        </w:rPr>
      </w:pPr>
      <w:r>
        <w:rPr>
          <w:rFonts w:eastAsia="宋体"/>
          <w:b/>
          <w:bCs/>
        </w:rPr>
        <w:t>指标得分分析</w:t>
      </w:r>
      <w:r>
        <w:rPr>
          <w:b/>
          <w:bCs/>
        </w:rPr>
        <w:t>：</w:t>
      </w:r>
    </w:p>
    <w:p>
      <w:pPr>
        <w:widowControl/>
        <w:ind w:firstLine="422"/>
        <w:jc w:val="left"/>
        <w:rPr>
          <w:rFonts w:eastAsia="宋体"/>
          <w:b/>
          <w:bCs/>
        </w:rPr>
      </w:pPr>
      <w:r>
        <w:rPr>
          <w:rFonts w:eastAsia="宋体"/>
          <w:b/>
          <w:bCs/>
        </w:rPr>
        <w:t>（1）A11立项依据充分性指标：</w:t>
      </w:r>
    </w:p>
    <w:p>
      <w:pPr>
        <w:ind w:firstLine="420"/>
        <w:rPr>
          <w:rFonts w:eastAsia="宋体"/>
        </w:rPr>
      </w:pPr>
      <w:r>
        <w:rPr>
          <w:rFonts w:eastAsia="宋体"/>
        </w:rPr>
        <w:t>①项目立项符合《</w:t>
      </w:r>
      <w:r>
        <w:rPr>
          <w:rFonts w:hint="eastAsia" w:eastAsia="宋体"/>
          <w:lang w:eastAsia="zh-CN"/>
        </w:rPr>
        <w:t>“</w:t>
      </w:r>
      <w:r>
        <w:rPr>
          <w:rFonts w:eastAsia="宋体"/>
        </w:rPr>
        <w:t>十四五</w:t>
      </w:r>
      <w:r>
        <w:rPr>
          <w:rFonts w:hint="eastAsia" w:eastAsia="宋体"/>
          <w:lang w:eastAsia="zh-CN"/>
        </w:rPr>
        <w:t>”</w:t>
      </w:r>
      <w:r>
        <w:rPr>
          <w:rFonts w:eastAsia="宋体"/>
        </w:rPr>
        <w:t>全国农业机械化发展规划》关于</w:t>
      </w:r>
      <w:r>
        <w:rPr>
          <w:rFonts w:hint="eastAsia" w:eastAsia="宋体"/>
          <w:lang w:eastAsia="zh-CN"/>
        </w:rPr>
        <w:t>“</w:t>
      </w:r>
      <w:r>
        <w:rPr>
          <w:rFonts w:eastAsia="宋体"/>
        </w:rPr>
        <w:t>着力提升粮食作物生产全程机械化水平、加快推动农业机械化智能化、绿色化</w:t>
      </w:r>
      <w:r>
        <w:rPr>
          <w:rFonts w:hint="eastAsia" w:eastAsia="宋体"/>
          <w:lang w:eastAsia="zh-CN"/>
        </w:rPr>
        <w:t>”</w:t>
      </w:r>
      <w:r>
        <w:rPr>
          <w:rFonts w:eastAsia="宋体"/>
        </w:rPr>
        <w:t>的国家发展规划；符合《农业机械报废更新补贴实施指导意见》（农机办</w:t>
      </w:r>
      <w:r>
        <w:rPr>
          <w:rFonts w:eastAsia="宋体"/>
          <w:szCs w:val="16"/>
        </w:rPr>
        <w:t>〔2020〕</w:t>
      </w:r>
      <w:r>
        <w:rPr>
          <w:rFonts w:eastAsia="宋体"/>
        </w:rPr>
        <w:t>2号）针对农机超期服役问题，落实报废更新补贴政策，引导各地加快老旧农业机械报废更新进度，优化农机装备结构，促进农机安全生产和节能减排的文件精神。故该项目立项符合国家法律法规、国民经济发展规划和相关政策。</w:t>
      </w:r>
    </w:p>
    <w:p>
      <w:pPr>
        <w:ind w:firstLine="420"/>
        <w:rPr>
          <w:rFonts w:eastAsia="宋体"/>
        </w:rPr>
      </w:pPr>
      <w:r>
        <w:rPr>
          <w:rFonts w:eastAsia="宋体"/>
        </w:rPr>
        <w:t>②项目立项符合新疆维吾尔自治区农村厅、财政厅印发的《关于印发&lt;新疆维吾尔自治区农业机械报废更新补贴实施方案&gt;的通知》（新农机</w:t>
      </w:r>
      <w:r>
        <w:rPr>
          <w:rFonts w:eastAsia="宋体"/>
          <w:szCs w:val="16"/>
        </w:rPr>
        <w:t>〔2020〕</w:t>
      </w:r>
      <w:r>
        <w:rPr>
          <w:rFonts w:eastAsia="宋体"/>
        </w:rPr>
        <w:t>151号）中</w:t>
      </w:r>
      <w:r>
        <w:rPr>
          <w:rFonts w:hint="eastAsia" w:eastAsia="宋体"/>
          <w:lang w:eastAsia="zh-CN"/>
        </w:rPr>
        <w:t>“</w:t>
      </w:r>
      <w:r>
        <w:rPr>
          <w:rFonts w:eastAsia="宋体"/>
        </w:rPr>
        <w:t>加大耗能高、污染重、安全性能低的老旧农机淘汰力度，加快先进适用、节能环保、安全可靠农业机械的推广应用，优化农业机械装备结构，推进农业机械化转型升级和农业绿色发展</w:t>
      </w:r>
      <w:r>
        <w:rPr>
          <w:rFonts w:hint="eastAsia" w:eastAsia="宋体"/>
          <w:lang w:eastAsia="zh-CN"/>
        </w:rPr>
        <w:t>”</w:t>
      </w:r>
      <w:r>
        <w:rPr>
          <w:rFonts w:eastAsia="宋体"/>
        </w:rPr>
        <w:t>的文件精神。故项目立项符合行业发展规划和政策要求。</w:t>
      </w:r>
    </w:p>
    <w:p>
      <w:pPr>
        <w:ind w:firstLine="420"/>
        <w:rPr>
          <w:rFonts w:eastAsia="宋体"/>
        </w:rPr>
      </w:pPr>
      <w:r>
        <w:rPr>
          <w:rFonts w:eastAsia="宋体"/>
        </w:rPr>
        <w:t>③项目立项符合巴楚县农业农村机械化发展中心</w:t>
      </w:r>
      <w:r>
        <w:rPr>
          <w:rFonts w:hint="eastAsia" w:eastAsia="宋体"/>
          <w:lang w:eastAsia="zh-CN"/>
        </w:rPr>
        <w:t>“</w:t>
      </w:r>
      <w:r>
        <w:rPr>
          <w:rFonts w:eastAsia="宋体"/>
        </w:rPr>
        <w:t>负责农机购置补贴及农业机械的报废和更新工作。</w:t>
      </w:r>
      <w:r>
        <w:rPr>
          <w:rFonts w:hint="eastAsia" w:eastAsia="宋体"/>
          <w:lang w:eastAsia="zh-CN"/>
        </w:rPr>
        <w:t>”</w:t>
      </w:r>
      <w:r>
        <w:rPr>
          <w:rFonts w:eastAsia="宋体"/>
        </w:rPr>
        <w:t>这一部门职责，属于部门履职所需。</w:t>
      </w:r>
    </w:p>
    <w:p>
      <w:pPr>
        <w:ind w:firstLine="420"/>
        <w:rPr>
          <w:rFonts w:eastAsia="宋体"/>
        </w:rPr>
      </w:pPr>
      <w:r>
        <w:rPr>
          <w:rFonts w:eastAsia="宋体"/>
        </w:rPr>
        <w:t>④</w:t>
      </w:r>
      <w:r>
        <w:t>该项目为中央农业生产发展资金，资金性质为</w:t>
      </w:r>
      <w:r>
        <w:rPr>
          <w:rFonts w:hint="eastAsia"/>
          <w:lang w:eastAsia="zh-CN"/>
        </w:rPr>
        <w:t>“</w:t>
      </w:r>
      <w:r>
        <w:t>一般公共预算资金</w:t>
      </w:r>
      <w:r>
        <w:rPr>
          <w:rFonts w:hint="eastAsia"/>
          <w:lang w:eastAsia="zh-CN"/>
        </w:rPr>
        <w:t>”</w:t>
      </w:r>
      <w:r>
        <w:t>，功能分类科目为</w:t>
      </w:r>
      <w:r>
        <w:rPr>
          <w:rFonts w:hint="eastAsia"/>
          <w:lang w:eastAsia="zh-CN"/>
        </w:rPr>
        <w:t>“</w:t>
      </w:r>
      <w:r>
        <w:t>2130122农业生产发展</w:t>
      </w:r>
      <w:r>
        <w:rPr>
          <w:rFonts w:hint="eastAsia"/>
          <w:lang w:eastAsia="zh-CN"/>
        </w:rPr>
        <w:t>”</w:t>
      </w:r>
      <w:r>
        <w:t>，根据《中华人民共和国预算法》属于公共财政支持范围</w:t>
      </w:r>
      <w:r>
        <w:rPr>
          <w:rFonts w:eastAsia="宋体"/>
        </w:rPr>
        <w:t>。</w:t>
      </w:r>
    </w:p>
    <w:p>
      <w:pPr>
        <w:ind w:firstLine="420"/>
      </w:pPr>
      <w:r>
        <w:rPr>
          <w:rFonts w:eastAsia="宋体"/>
        </w:rPr>
        <w:t>⑤经查阅部门单位预决算公开文件，该项目不存在重复。</w:t>
      </w:r>
    </w:p>
    <w:p>
      <w:pPr>
        <w:ind w:firstLine="420"/>
        <w:rPr>
          <w:rFonts w:eastAsia="宋体"/>
        </w:rPr>
      </w:pPr>
      <w:r>
        <w:rPr>
          <w:rFonts w:eastAsia="宋体"/>
        </w:rPr>
        <w:t>该指标满分为1.50分，根据评分标准得1.50分。</w:t>
      </w:r>
    </w:p>
    <w:p>
      <w:pPr>
        <w:widowControl/>
        <w:ind w:firstLine="422"/>
        <w:jc w:val="left"/>
        <w:rPr>
          <w:rFonts w:eastAsia="宋体"/>
          <w:b/>
          <w:bCs/>
        </w:rPr>
      </w:pPr>
      <w:r>
        <w:rPr>
          <w:rFonts w:eastAsia="宋体"/>
          <w:b/>
          <w:bCs/>
        </w:rPr>
        <w:t>（2）A12立项程序规范性指标：</w:t>
      </w:r>
    </w:p>
    <w:p>
      <w:pPr>
        <w:ind w:firstLine="420"/>
        <w:rPr>
          <w:rFonts w:eastAsia="宋体"/>
        </w:rPr>
      </w:pPr>
      <w:r>
        <w:rPr>
          <w:rFonts w:eastAsia="宋体"/>
        </w:rPr>
        <w:t>该项目为中央农业生产发展资金，根据《关于下达2022年中央农业生产发展资金（项目部分）预算的通知》</w:t>
      </w:r>
      <w:r>
        <w:t>（巴财农〔2022〕20号）等资金文件下达的专项资金安排内容设立项目，项目的实施有现行的政策文件参照执行，严格按照《关于印发&lt;新疆维吾尔自治区2021-2023年农业机械购置补贴实施方案&gt;的通知》（新农机〔2021〕94号）、《关于印发&lt;巴楚县2022年农机购置与应用补贴试点方案&gt;的通知》（巴政办发〔2022〕48号）、《巴楚县农业机械报废更新补贴实施方案》文件要求，严格落实农机购置补贴政策，为符合条件的机具发放补贴</w:t>
      </w:r>
      <w:r>
        <w:rPr>
          <w:rFonts w:eastAsia="宋体"/>
        </w:rPr>
        <w:t>。</w:t>
      </w:r>
    </w:p>
    <w:p>
      <w:pPr>
        <w:ind w:firstLine="420"/>
        <w:rPr>
          <w:rFonts w:eastAsia="宋体"/>
        </w:rPr>
      </w:pPr>
      <w:r>
        <w:rPr>
          <w:rFonts w:eastAsia="宋体"/>
        </w:rPr>
        <w:t>该指标满分为1.50分，根据评分标准得1.50分。</w:t>
      </w:r>
    </w:p>
    <w:p>
      <w:pPr>
        <w:widowControl/>
        <w:ind w:firstLine="422"/>
        <w:jc w:val="left"/>
        <w:rPr>
          <w:rFonts w:eastAsia="宋体"/>
        </w:rPr>
      </w:pPr>
      <w:r>
        <w:rPr>
          <w:rFonts w:eastAsia="宋体"/>
          <w:b/>
          <w:bCs/>
        </w:rPr>
        <w:t>（3）A21 绩效目标合理性指标：</w:t>
      </w:r>
    </w:p>
    <w:p>
      <w:pPr>
        <w:ind w:firstLine="420"/>
      </w:pPr>
      <w:r>
        <w:rPr>
          <w:rFonts w:eastAsia="宋体"/>
        </w:rPr>
        <w:t>①经查证《专项预算项目支出绩效目标表》，该</w:t>
      </w:r>
      <w:r>
        <w:t>项目有绩效目标，具体目标内容是：</w:t>
      </w:r>
      <w:r>
        <w:rPr>
          <w:rFonts w:hint="eastAsia"/>
          <w:lang w:eastAsia="zh-CN"/>
        </w:rPr>
        <w:t>“</w:t>
      </w:r>
      <w:r>
        <w:t>目标1：计划投入5</w:t>
      </w:r>
      <w:r>
        <w:rPr>
          <w:rFonts w:hint="eastAsia"/>
          <w:lang w:eastAsia="zh-CN"/>
        </w:rPr>
        <w:t>，</w:t>
      </w:r>
      <w:r>
        <w:t>142万元；目标2：项目计划补贴机具1</w:t>
      </w:r>
      <w:r>
        <w:rPr>
          <w:rFonts w:hint="eastAsia"/>
          <w:lang w:eastAsia="zh-CN"/>
        </w:rPr>
        <w:t>，</w:t>
      </w:r>
      <w:r>
        <w:t>638台/套，其中：农业动力机械788台、配套机具850台/套，开展农机购置与应用补贴试点1个，享受中央财政补贴的机具种类范围为15大类42个小类155个品目，通过补贴资金发放享受农800户；目标3：通过项目实施，农业机械化生产社会化服务水平稳步提升，到2022年底主要农作物综合机械化水平达到90.00%，促进农机科技进步明显增强</w:t>
      </w:r>
      <w:r>
        <w:rPr>
          <w:rFonts w:hint="eastAsia"/>
          <w:lang w:eastAsia="zh-CN"/>
        </w:rPr>
        <w:t>”</w:t>
      </w:r>
      <w:r>
        <w:t>。</w:t>
      </w:r>
    </w:p>
    <w:p>
      <w:pPr>
        <w:ind w:firstLine="420"/>
      </w:pPr>
      <w:r>
        <w:t>②经查证项目绩效目标与《巴楚县农业机械报废更新补贴实施方案》《关于印发&lt;巴楚县2022年农机购置与应用补贴试点方案&gt;的通知》（巴政办发〔2022〕48号）等项目资料，项目计划对农业动力机械和配套机具进行补贴，项目绩效目标是结合相关政策进行设置，与实际工作内容存在相关性。</w:t>
      </w:r>
    </w:p>
    <w:p>
      <w:pPr>
        <w:ind w:firstLine="420"/>
        <w:rPr>
          <w:rFonts w:eastAsia="宋体"/>
        </w:rPr>
      </w:pPr>
      <w:r>
        <w:t>③经查证</w:t>
      </w:r>
      <w:r>
        <w:rPr>
          <w:rFonts w:eastAsia="宋体"/>
        </w:rPr>
        <w:t>《专项预算项目支出绩效目标表》</w:t>
      </w:r>
      <w:r>
        <w:t>与《巴楚县农业机械报废更新补贴实施方案》《关于印发&lt;巴楚县2022年农机购置与应用补贴试点方案&gt;的通知》（巴政办发〔2022〕48号）等项目资料，通过实施该项目，有效提高农业机械化生产和社会化服务</w:t>
      </w:r>
      <w:r>
        <w:rPr>
          <w:rFonts w:eastAsia="宋体"/>
        </w:rPr>
        <w:t>水平，促进农机科技进步，项目预计产出效益和效果符合正常的业绩水平。</w:t>
      </w:r>
    </w:p>
    <w:p>
      <w:pPr>
        <w:ind w:firstLine="420"/>
      </w:pPr>
      <w:r>
        <w:t>④项目绩效目标预算金额与项目预算计划确定的投资金额一致。</w:t>
      </w:r>
    </w:p>
    <w:p>
      <w:pPr>
        <w:ind w:firstLine="420"/>
        <w:rPr>
          <w:rFonts w:eastAsia="宋体"/>
        </w:rPr>
      </w:pPr>
      <w:r>
        <w:rPr>
          <w:rFonts w:eastAsia="宋体"/>
        </w:rPr>
        <w:t>该指标满分为2.00分，根据评分标准得2.00分。</w:t>
      </w:r>
    </w:p>
    <w:p>
      <w:pPr>
        <w:widowControl/>
        <w:ind w:firstLine="422"/>
        <w:jc w:val="left"/>
        <w:rPr>
          <w:rFonts w:eastAsia="宋体"/>
          <w:b/>
          <w:bCs/>
        </w:rPr>
      </w:pPr>
      <w:r>
        <w:rPr>
          <w:rFonts w:eastAsia="宋体"/>
          <w:b/>
          <w:bCs/>
        </w:rPr>
        <w:t>（4）A22绩效指标明确性指标：</w:t>
      </w:r>
    </w:p>
    <w:p>
      <w:pPr>
        <w:ind w:firstLine="420"/>
      </w:pPr>
      <w:r>
        <w:rPr>
          <w:rFonts w:eastAsia="宋体"/>
        </w:rPr>
        <w:t>①根据《专项预算项目</w:t>
      </w:r>
      <w:r>
        <w:t>支出绩效目标申报表》可知，该项目有绩效目标共设立一级指标3个，二级指标7个，三级指标13个，已将绩效目标细化分解为具体的绩效指标。</w:t>
      </w:r>
    </w:p>
    <w:p>
      <w:pPr>
        <w:ind w:firstLine="420"/>
      </w:pPr>
      <w:r>
        <w:t>②该项目共设置三级指标13个，其中定量指标10个，定性指标3个，指标量化率为76.92%，指标量化率大于70.00%，但其数量指标</w:t>
      </w:r>
      <w:r>
        <w:rPr>
          <w:rFonts w:hint="eastAsia"/>
          <w:lang w:eastAsia="zh-CN"/>
        </w:rPr>
        <w:t>“</w:t>
      </w:r>
      <w:r>
        <w:t>农机购置补贴机具总数</w:t>
      </w:r>
      <w:r>
        <w:rPr>
          <w:rFonts w:hint="eastAsia"/>
          <w:lang w:eastAsia="zh-CN"/>
        </w:rPr>
        <w:t>”“</w:t>
      </w:r>
      <w:r>
        <w:t>补贴农业机械动力机械数量</w:t>
      </w:r>
      <w:r>
        <w:rPr>
          <w:rFonts w:hint="eastAsia"/>
          <w:lang w:eastAsia="zh-CN"/>
        </w:rPr>
        <w:t>”“</w:t>
      </w:r>
      <w:r>
        <w:t>补贴配套机具数量</w:t>
      </w:r>
      <w:r>
        <w:rPr>
          <w:rFonts w:hint="eastAsia"/>
          <w:lang w:eastAsia="zh-CN"/>
        </w:rPr>
        <w:t>”</w:t>
      </w:r>
      <w:r>
        <w:t>与实际完成值的偏差分别为9.34%、16.75%和33.53%，均存在一定偏差，绩效指标的设置目标值填报准确性有待提高，根据评分标准扣0.40分。</w:t>
      </w:r>
    </w:p>
    <w:p>
      <w:pPr>
        <w:ind w:firstLine="420"/>
      </w:pPr>
      <w:r>
        <w:t>该指标满分为2.00分，根据评分标准得1.60分</w:t>
      </w:r>
      <w:r>
        <w:rPr>
          <w:rFonts w:eastAsia="宋体"/>
        </w:rPr>
        <w:t>。</w:t>
      </w:r>
    </w:p>
    <w:p>
      <w:pPr>
        <w:widowControl/>
        <w:ind w:firstLine="422"/>
        <w:jc w:val="left"/>
        <w:rPr>
          <w:rFonts w:eastAsia="宋体"/>
          <w:b/>
          <w:bCs/>
        </w:rPr>
      </w:pPr>
      <w:r>
        <w:rPr>
          <w:rFonts w:eastAsia="宋体"/>
          <w:b/>
          <w:bCs/>
        </w:rPr>
        <w:t>（5）A31预算编制科学性指标：</w:t>
      </w:r>
    </w:p>
    <w:p>
      <w:pPr>
        <w:ind w:firstLine="420"/>
      </w:pPr>
      <w:r>
        <w:rPr>
          <w:rFonts w:eastAsia="宋体"/>
        </w:rPr>
        <w:t>该项目补贴标准严格按照《关于下达2022年自治区农机购置与应用补贴试点配套资金和组织管理经费的通知》（巴财农〔2022〕22号）、《关于下达2022年中央农业生产发展资金（项目部分）预算的通知》（巴财农〔2022〕15号）、《关于下达2022年中央农业生产发展资金（项目部分）预算的通知》（巴财农〔2022〕20号）等资金文件中下达的预算指标编制和测算项目预算，预算测算依据充分，科学合理。</w:t>
      </w:r>
    </w:p>
    <w:p>
      <w:pPr>
        <w:ind w:firstLine="420"/>
      </w:pPr>
      <w:r>
        <w:t>该指标满分为1.50分，根据评分标准得1.50分</w:t>
      </w:r>
      <w:r>
        <w:rPr>
          <w:rFonts w:eastAsia="宋体"/>
        </w:rPr>
        <w:t>。</w:t>
      </w:r>
    </w:p>
    <w:p>
      <w:pPr>
        <w:widowControl/>
        <w:ind w:firstLine="422"/>
        <w:jc w:val="left"/>
        <w:rPr>
          <w:rFonts w:eastAsia="宋体"/>
          <w:b/>
          <w:bCs/>
        </w:rPr>
      </w:pPr>
      <w:r>
        <w:rPr>
          <w:rFonts w:eastAsia="宋体"/>
          <w:b/>
          <w:bCs/>
        </w:rPr>
        <w:t>（6）A32资金分配合理性指标：</w:t>
      </w:r>
    </w:p>
    <w:p>
      <w:pPr>
        <w:ind w:firstLine="420"/>
        <w:rPr>
          <w:rFonts w:eastAsia="宋体"/>
        </w:rPr>
      </w:pPr>
      <w:r>
        <w:t>该项目资金</w:t>
      </w:r>
      <w:r>
        <w:rPr>
          <w:rFonts w:eastAsia="宋体"/>
        </w:rPr>
        <w:t>依照《关于下达2022年自治区农机购置与应用补贴试点配套资金和组织管理经费的通知》（巴财农〔2022〕22号）、</w:t>
      </w:r>
      <w:r>
        <w:t>《巴楚县农业机械报废更新补贴实施方案》和</w:t>
      </w:r>
      <w:r>
        <w:rPr>
          <w:rFonts w:eastAsia="宋体"/>
        </w:rPr>
        <w:t>《关于印发&lt;巴楚县2022年农机购置与应用补贴试点方案&gt;的通知》（巴政办发〔2022〕48号）进行分配，</w:t>
      </w:r>
      <w:r>
        <w:t>预算资金分配依据充分，资金分配额度与地方实际相适应</w:t>
      </w:r>
      <w:r>
        <w:rPr>
          <w:rFonts w:eastAsia="宋体"/>
        </w:rPr>
        <w:t>。</w:t>
      </w:r>
    </w:p>
    <w:p>
      <w:pPr>
        <w:ind w:firstLine="420"/>
      </w:pPr>
      <w:r>
        <w:rPr>
          <w:rFonts w:eastAsia="宋体"/>
        </w:rPr>
        <w:t>该指标满分为1.50分，根据评分标准得1.50分。</w:t>
      </w:r>
    </w:p>
    <w:p>
      <w:pPr>
        <w:pStyle w:val="6"/>
        <w:ind w:firstLine="482"/>
        <w:rPr>
          <w:rFonts w:ascii="Times New Roman" w:hAnsi="Times New Roman"/>
        </w:rPr>
      </w:pPr>
      <w:bookmarkStart w:id="55" w:name="_Toc11718"/>
      <w:r>
        <w:rPr>
          <w:rFonts w:ascii="Times New Roman" w:hAnsi="Times New Roman"/>
        </w:rPr>
        <w:t>（二）项目过程情况</w:t>
      </w:r>
      <w:bookmarkEnd w:id="55"/>
      <w:r>
        <w:rPr>
          <w:rFonts w:ascii="Times New Roman" w:hAnsi="Times New Roman"/>
        </w:rPr>
        <w:t xml:space="preserve"> </w:t>
      </w:r>
    </w:p>
    <w:p>
      <w:pPr>
        <w:ind w:firstLine="420"/>
      </w:pPr>
      <w:r>
        <w:t>项目过程类指标由2个二级指标和5个三级指标构</w:t>
      </w:r>
      <w:r>
        <w:rPr>
          <w:rFonts w:eastAsia="宋体"/>
        </w:rPr>
        <w:t>成，权重分25.00分，实际得分24.00分，得分率为96.00%。各指标业绩值和绩效分值如下表</w:t>
      </w:r>
      <w:r>
        <w:t>所示：</w:t>
      </w:r>
    </w:p>
    <w:p>
      <w:pPr>
        <w:ind w:firstLine="0" w:firstLineChars="0"/>
        <w:jc w:val="center"/>
        <w:rPr>
          <w:rFonts w:eastAsia="黑体"/>
        </w:rPr>
      </w:pPr>
      <w:r>
        <w:rPr>
          <w:rFonts w:eastAsia="黑体"/>
        </w:rPr>
        <w:t>表4-2：项目过程类指标及分值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76"/>
        <w:gridCol w:w="1199"/>
        <w:gridCol w:w="1995"/>
        <w:gridCol w:w="841"/>
        <w:gridCol w:w="1110"/>
        <w:gridCol w:w="759"/>
        <w:gridCol w:w="69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jc w:val="center"/>
        </w:trPr>
        <w:tc>
          <w:tcPr>
            <w:tcW w:w="580" w:type="pct"/>
            <w:vAlign w:val="center"/>
          </w:tcPr>
          <w:p>
            <w:pPr>
              <w:widowControl/>
              <w:spacing w:line="300" w:lineRule="auto"/>
              <w:ind w:firstLine="0" w:firstLineChars="0"/>
              <w:jc w:val="center"/>
              <w:textAlignment w:val="center"/>
              <w:rPr>
                <w:rFonts w:eastAsia="宋体"/>
                <w:b/>
                <w:sz w:val="20"/>
                <w:szCs w:val="20"/>
              </w:rPr>
            </w:pPr>
            <w:r>
              <w:rPr>
                <w:rFonts w:eastAsia="宋体"/>
                <w:b/>
                <w:kern w:val="0"/>
                <w:sz w:val="20"/>
                <w:szCs w:val="20"/>
                <w:lang w:bidi="ar"/>
              </w:rPr>
              <w:t>一级指标</w:t>
            </w:r>
          </w:p>
        </w:tc>
        <w:tc>
          <w:tcPr>
            <w:tcW w:w="713" w:type="pct"/>
            <w:vAlign w:val="center"/>
          </w:tcPr>
          <w:p>
            <w:pPr>
              <w:widowControl/>
              <w:spacing w:line="300" w:lineRule="auto"/>
              <w:ind w:firstLine="0" w:firstLineChars="0"/>
              <w:jc w:val="center"/>
              <w:textAlignment w:val="center"/>
              <w:rPr>
                <w:rFonts w:eastAsia="宋体"/>
                <w:b/>
                <w:sz w:val="20"/>
                <w:szCs w:val="20"/>
              </w:rPr>
            </w:pPr>
            <w:r>
              <w:rPr>
                <w:rFonts w:eastAsia="宋体"/>
                <w:b/>
                <w:kern w:val="0"/>
                <w:sz w:val="20"/>
                <w:szCs w:val="20"/>
                <w:lang w:bidi="ar"/>
              </w:rPr>
              <w:t>二级指标</w:t>
            </w:r>
          </w:p>
        </w:tc>
        <w:tc>
          <w:tcPr>
            <w:tcW w:w="1186" w:type="pct"/>
            <w:vAlign w:val="center"/>
          </w:tcPr>
          <w:p>
            <w:pPr>
              <w:widowControl/>
              <w:spacing w:line="300" w:lineRule="auto"/>
              <w:ind w:firstLine="0" w:firstLineChars="0"/>
              <w:jc w:val="center"/>
              <w:textAlignment w:val="center"/>
              <w:rPr>
                <w:rFonts w:eastAsia="宋体"/>
                <w:b/>
                <w:sz w:val="20"/>
                <w:szCs w:val="20"/>
              </w:rPr>
            </w:pPr>
            <w:r>
              <w:rPr>
                <w:rFonts w:eastAsia="宋体"/>
                <w:b/>
                <w:kern w:val="0"/>
                <w:sz w:val="20"/>
                <w:szCs w:val="20"/>
                <w:lang w:bidi="ar"/>
              </w:rPr>
              <w:t>三级指标</w:t>
            </w:r>
          </w:p>
        </w:tc>
        <w:tc>
          <w:tcPr>
            <w:tcW w:w="500" w:type="pct"/>
            <w:vAlign w:val="center"/>
          </w:tcPr>
          <w:p>
            <w:pPr>
              <w:widowControl/>
              <w:spacing w:line="300" w:lineRule="auto"/>
              <w:ind w:firstLine="0" w:firstLineChars="0"/>
              <w:textAlignment w:val="center"/>
              <w:rPr>
                <w:rFonts w:eastAsia="宋体"/>
                <w:b/>
                <w:sz w:val="20"/>
                <w:szCs w:val="20"/>
              </w:rPr>
            </w:pPr>
            <w:r>
              <w:rPr>
                <w:rFonts w:eastAsia="宋体"/>
                <w:b/>
                <w:kern w:val="0"/>
                <w:sz w:val="20"/>
                <w:szCs w:val="20"/>
                <w:lang w:bidi="ar"/>
              </w:rPr>
              <w:t>目标值</w:t>
            </w:r>
          </w:p>
        </w:tc>
        <w:tc>
          <w:tcPr>
            <w:tcW w:w="660" w:type="pct"/>
            <w:vAlign w:val="center"/>
          </w:tcPr>
          <w:p>
            <w:pPr>
              <w:widowControl/>
              <w:spacing w:line="300" w:lineRule="auto"/>
              <w:ind w:firstLine="0" w:firstLineChars="0"/>
              <w:textAlignment w:val="center"/>
              <w:rPr>
                <w:rFonts w:eastAsia="宋体"/>
                <w:b/>
                <w:kern w:val="0"/>
                <w:sz w:val="20"/>
                <w:szCs w:val="20"/>
                <w:lang w:bidi="ar"/>
              </w:rPr>
            </w:pPr>
            <w:r>
              <w:rPr>
                <w:rFonts w:eastAsia="宋体"/>
                <w:b/>
                <w:kern w:val="0"/>
                <w:sz w:val="20"/>
                <w:szCs w:val="20"/>
                <w:lang w:bidi="ar"/>
              </w:rPr>
              <w:t>实际完成值</w:t>
            </w:r>
          </w:p>
        </w:tc>
        <w:tc>
          <w:tcPr>
            <w:tcW w:w="451" w:type="pct"/>
            <w:vAlign w:val="center"/>
          </w:tcPr>
          <w:p>
            <w:pPr>
              <w:widowControl/>
              <w:spacing w:line="300" w:lineRule="auto"/>
              <w:ind w:firstLine="0" w:firstLineChars="0"/>
              <w:jc w:val="center"/>
              <w:textAlignment w:val="center"/>
              <w:rPr>
                <w:rFonts w:eastAsia="宋体"/>
                <w:b/>
                <w:sz w:val="20"/>
                <w:szCs w:val="20"/>
              </w:rPr>
            </w:pPr>
            <w:r>
              <w:rPr>
                <w:rFonts w:eastAsia="宋体"/>
                <w:b/>
                <w:kern w:val="0"/>
                <w:sz w:val="20"/>
                <w:szCs w:val="20"/>
                <w:lang w:bidi="ar"/>
              </w:rPr>
              <w:t>权重</w:t>
            </w:r>
          </w:p>
        </w:tc>
        <w:tc>
          <w:tcPr>
            <w:tcW w:w="410" w:type="pct"/>
            <w:vAlign w:val="center"/>
          </w:tcPr>
          <w:p>
            <w:pPr>
              <w:widowControl/>
              <w:spacing w:line="300" w:lineRule="auto"/>
              <w:ind w:firstLine="0" w:firstLineChars="0"/>
              <w:jc w:val="center"/>
              <w:textAlignment w:val="center"/>
              <w:rPr>
                <w:rFonts w:eastAsia="宋体"/>
                <w:b/>
                <w:sz w:val="20"/>
                <w:szCs w:val="20"/>
              </w:rPr>
            </w:pPr>
            <w:r>
              <w:rPr>
                <w:rFonts w:eastAsia="宋体"/>
                <w:b/>
                <w:kern w:val="0"/>
                <w:sz w:val="20"/>
                <w:szCs w:val="20"/>
                <w:lang w:bidi="ar"/>
              </w:rPr>
              <w:t>得分</w:t>
            </w:r>
          </w:p>
        </w:tc>
        <w:tc>
          <w:tcPr>
            <w:tcW w:w="498" w:type="pct"/>
            <w:vAlign w:val="center"/>
          </w:tcPr>
          <w:p>
            <w:pPr>
              <w:widowControl/>
              <w:spacing w:line="300" w:lineRule="auto"/>
              <w:ind w:firstLine="0" w:firstLineChars="0"/>
              <w:jc w:val="center"/>
              <w:textAlignment w:val="center"/>
              <w:rPr>
                <w:rFonts w:eastAsia="宋体"/>
                <w:b/>
                <w:kern w:val="0"/>
                <w:sz w:val="20"/>
                <w:szCs w:val="20"/>
                <w:lang w:bidi="ar"/>
              </w:rPr>
            </w:pPr>
            <w:r>
              <w:rPr>
                <w:rFonts w:eastAsia="宋体"/>
                <w:b/>
                <w:kern w:val="0"/>
                <w:sz w:val="20"/>
                <w:szCs w:val="20"/>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80" w:type="pct"/>
            <w:vMerge w:val="restart"/>
            <w:vAlign w:val="center"/>
          </w:tcPr>
          <w:p>
            <w:pPr>
              <w:widowControl/>
              <w:spacing w:line="300" w:lineRule="auto"/>
              <w:ind w:firstLine="0" w:firstLineChars="0"/>
              <w:jc w:val="left"/>
              <w:rPr>
                <w:rFonts w:eastAsia="宋体"/>
                <w:sz w:val="20"/>
                <w:szCs w:val="20"/>
              </w:rPr>
            </w:pPr>
            <w:r>
              <w:rPr>
                <w:rFonts w:eastAsia="宋体"/>
                <w:sz w:val="20"/>
                <w:szCs w:val="20"/>
              </w:rPr>
              <w:t>B过程</w:t>
            </w:r>
            <w:r>
              <w:rPr>
                <w:rFonts w:eastAsia="宋体"/>
                <w:sz w:val="20"/>
                <w:szCs w:val="20"/>
              </w:rPr>
              <w:br w:type="textWrapping"/>
            </w:r>
            <w:r>
              <w:rPr>
                <w:rFonts w:eastAsia="宋体"/>
                <w:sz w:val="20"/>
                <w:szCs w:val="20"/>
              </w:rPr>
              <w:t>（25.00分）</w:t>
            </w:r>
          </w:p>
        </w:tc>
        <w:tc>
          <w:tcPr>
            <w:tcW w:w="713" w:type="pct"/>
            <w:vMerge w:val="restart"/>
            <w:vAlign w:val="center"/>
          </w:tcPr>
          <w:p>
            <w:pPr>
              <w:widowControl/>
              <w:spacing w:line="300" w:lineRule="auto"/>
              <w:ind w:firstLine="0" w:firstLineChars="0"/>
              <w:jc w:val="left"/>
              <w:rPr>
                <w:rFonts w:eastAsia="宋体"/>
                <w:sz w:val="20"/>
                <w:szCs w:val="20"/>
              </w:rPr>
            </w:pPr>
            <w:r>
              <w:rPr>
                <w:rFonts w:eastAsia="宋体"/>
                <w:sz w:val="20"/>
                <w:szCs w:val="20"/>
              </w:rPr>
              <w:t>B1资金管理（12.00分）　</w:t>
            </w:r>
          </w:p>
        </w:tc>
        <w:tc>
          <w:tcPr>
            <w:tcW w:w="1186" w:type="pct"/>
            <w:vAlign w:val="center"/>
          </w:tcPr>
          <w:p>
            <w:pPr>
              <w:widowControl/>
              <w:spacing w:line="300" w:lineRule="auto"/>
              <w:ind w:firstLine="0" w:firstLineChars="0"/>
              <w:rPr>
                <w:rFonts w:eastAsia="宋体"/>
                <w:sz w:val="20"/>
                <w:szCs w:val="20"/>
              </w:rPr>
            </w:pPr>
            <w:r>
              <w:rPr>
                <w:rFonts w:eastAsia="宋体"/>
                <w:sz w:val="20"/>
                <w:szCs w:val="20"/>
              </w:rPr>
              <w:t>B11资金到位率</w:t>
            </w:r>
          </w:p>
        </w:tc>
        <w:tc>
          <w:tcPr>
            <w:tcW w:w="500" w:type="pct"/>
            <w:vAlign w:val="center"/>
          </w:tcPr>
          <w:p>
            <w:pPr>
              <w:widowControl/>
              <w:spacing w:line="300" w:lineRule="auto"/>
              <w:ind w:firstLine="0" w:firstLineChars="0"/>
              <w:jc w:val="center"/>
              <w:rPr>
                <w:rFonts w:eastAsia="宋体"/>
                <w:sz w:val="20"/>
                <w:szCs w:val="20"/>
              </w:rPr>
            </w:pPr>
            <w:r>
              <w:rPr>
                <w:rFonts w:eastAsia="宋体"/>
                <w:sz w:val="20"/>
                <w:szCs w:val="20"/>
              </w:rPr>
              <w:t>100.00%</w:t>
            </w:r>
          </w:p>
        </w:tc>
        <w:tc>
          <w:tcPr>
            <w:tcW w:w="660" w:type="pct"/>
            <w:vAlign w:val="center"/>
          </w:tcPr>
          <w:p>
            <w:pPr>
              <w:widowControl/>
              <w:spacing w:line="300" w:lineRule="auto"/>
              <w:ind w:firstLine="0" w:firstLineChars="0"/>
              <w:jc w:val="center"/>
              <w:rPr>
                <w:rFonts w:eastAsia="宋体"/>
                <w:sz w:val="20"/>
                <w:szCs w:val="20"/>
              </w:rPr>
            </w:pPr>
            <w:r>
              <w:rPr>
                <w:rFonts w:eastAsia="宋体"/>
                <w:sz w:val="20"/>
                <w:szCs w:val="20"/>
              </w:rPr>
              <w:t>100.00%</w:t>
            </w:r>
          </w:p>
        </w:tc>
        <w:tc>
          <w:tcPr>
            <w:tcW w:w="451" w:type="pct"/>
            <w:vAlign w:val="center"/>
          </w:tcPr>
          <w:p>
            <w:pPr>
              <w:widowControl/>
              <w:spacing w:line="300" w:lineRule="auto"/>
              <w:ind w:firstLine="0" w:firstLineChars="0"/>
              <w:jc w:val="center"/>
              <w:rPr>
                <w:rFonts w:eastAsia="宋体"/>
                <w:sz w:val="20"/>
                <w:szCs w:val="20"/>
              </w:rPr>
            </w:pPr>
            <w:r>
              <w:rPr>
                <w:rFonts w:eastAsia="宋体"/>
                <w:sz w:val="20"/>
                <w:szCs w:val="20"/>
              </w:rPr>
              <w:t>3.00</w:t>
            </w:r>
          </w:p>
        </w:tc>
        <w:tc>
          <w:tcPr>
            <w:tcW w:w="410" w:type="pct"/>
            <w:vAlign w:val="center"/>
          </w:tcPr>
          <w:p>
            <w:pPr>
              <w:widowControl/>
              <w:spacing w:line="300" w:lineRule="auto"/>
              <w:ind w:firstLine="0" w:firstLineChars="0"/>
              <w:jc w:val="center"/>
              <w:rPr>
                <w:rFonts w:eastAsia="宋体"/>
                <w:sz w:val="20"/>
                <w:szCs w:val="20"/>
              </w:rPr>
            </w:pPr>
            <w:r>
              <w:rPr>
                <w:rFonts w:eastAsia="宋体"/>
                <w:sz w:val="20"/>
                <w:szCs w:val="20"/>
              </w:rPr>
              <w:t>3.00</w:t>
            </w:r>
          </w:p>
        </w:tc>
        <w:tc>
          <w:tcPr>
            <w:tcW w:w="498" w:type="pct"/>
            <w:vAlign w:val="center"/>
          </w:tcPr>
          <w:p>
            <w:pPr>
              <w:widowControl/>
              <w:spacing w:line="300" w:lineRule="auto"/>
              <w:ind w:firstLine="0" w:firstLineChars="0"/>
              <w:jc w:val="center"/>
              <w:rPr>
                <w:rFonts w:eastAsia="宋体"/>
                <w:sz w:val="20"/>
                <w:szCs w:val="20"/>
              </w:rPr>
            </w:pPr>
            <w:r>
              <w:rPr>
                <w:rFonts w:eastAsia="宋体"/>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80" w:type="pct"/>
            <w:vMerge w:val="continue"/>
            <w:vAlign w:val="center"/>
          </w:tcPr>
          <w:p>
            <w:pPr>
              <w:widowControl/>
              <w:spacing w:line="300" w:lineRule="auto"/>
              <w:ind w:firstLine="0" w:firstLineChars="0"/>
              <w:jc w:val="left"/>
              <w:rPr>
                <w:rFonts w:eastAsia="宋体"/>
                <w:sz w:val="20"/>
                <w:szCs w:val="20"/>
              </w:rPr>
            </w:pPr>
          </w:p>
        </w:tc>
        <w:tc>
          <w:tcPr>
            <w:tcW w:w="713" w:type="pct"/>
            <w:vMerge w:val="continue"/>
            <w:vAlign w:val="center"/>
          </w:tcPr>
          <w:p>
            <w:pPr>
              <w:widowControl/>
              <w:spacing w:line="300" w:lineRule="auto"/>
              <w:ind w:firstLine="0" w:firstLineChars="0"/>
              <w:jc w:val="left"/>
              <w:rPr>
                <w:rFonts w:eastAsia="宋体"/>
                <w:sz w:val="20"/>
                <w:szCs w:val="20"/>
              </w:rPr>
            </w:pPr>
          </w:p>
        </w:tc>
        <w:tc>
          <w:tcPr>
            <w:tcW w:w="1186" w:type="pct"/>
            <w:vAlign w:val="center"/>
          </w:tcPr>
          <w:p>
            <w:pPr>
              <w:widowControl/>
              <w:spacing w:line="300" w:lineRule="auto"/>
              <w:ind w:firstLine="0" w:firstLineChars="0"/>
              <w:rPr>
                <w:rFonts w:eastAsia="宋体"/>
                <w:sz w:val="20"/>
                <w:szCs w:val="20"/>
              </w:rPr>
            </w:pPr>
            <w:r>
              <w:rPr>
                <w:rFonts w:eastAsia="宋体"/>
                <w:sz w:val="20"/>
                <w:szCs w:val="20"/>
              </w:rPr>
              <w:t>B12预算执行率</w:t>
            </w:r>
          </w:p>
        </w:tc>
        <w:tc>
          <w:tcPr>
            <w:tcW w:w="500" w:type="pct"/>
            <w:vAlign w:val="center"/>
          </w:tcPr>
          <w:p>
            <w:pPr>
              <w:widowControl/>
              <w:spacing w:line="300" w:lineRule="auto"/>
              <w:ind w:firstLine="0" w:firstLineChars="0"/>
              <w:jc w:val="center"/>
              <w:rPr>
                <w:rFonts w:eastAsia="宋体"/>
                <w:sz w:val="20"/>
                <w:szCs w:val="20"/>
              </w:rPr>
            </w:pPr>
            <w:r>
              <w:rPr>
                <w:rFonts w:eastAsia="宋体"/>
                <w:sz w:val="20"/>
                <w:szCs w:val="20"/>
              </w:rPr>
              <w:t>100.00%</w:t>
            </w:r>
          </w:p>
        </w:tc>
        <w:tc>
          <w:tcPr>
            <w:tcW w:w="660" w:type="pct"/>
            <w:vAlign w:val="center"/>
          </w:tcPr>
          <w:p>
            <w:pPr>
              <w:widowControl/>
              <w:spacing w:line="300" w:lineRule="auto"/>
              <w:ind w:firstLine="0" w:firstLineChars="0"/>
              <w:jc w:val="center"/>
              <w:rPr>
                <w:rFonts w:eastAsia="宋体"/>
                <w:sz w:val="20"/>
                <w:szCs w:val="20"/>
              </w:rPr>
            </w:pPr>
            <w:r>
              <w:rPr>
                <w:rFonts w:eastAsia="宋体"/>
                <w:sz w:val="20"/>
                <w:szCs w:val="20"/>
              </w:rPr>
              <w:t>99.83%</w:t>
            </w:r>
          </w:p>
        </w:tc>
        <w:tc>
          <w:tcPr>
            <w:tcW w:w="451" w:type="pct"/>
            <w:vAlign w:val="center"/>
          </w:tcPr>
          <w:p>
            <w:pPr>
              <w:widowControl/>
              <w:spacing w:line="300" w:lineRule="auto"/>
              <w:ind w:firstLine="0" w:firstLineChars="0"/>
              <w:jc w:val="center"/>
              <w:rPr>
                <w:rFonts w:eastAsia="宋体"/>
                <w:sz w:val="20"/>
                <w:szCs w:val="20"/>
              </w:rPr>
            </w:pPr>
            <w:r>
              <w:rPr>
                <w:rFonts w:eastAsia="宋体"/>
                <w:sz w:val="20"/>
                <w:szCs w:val="20"/>
              </w:rPr>
              <w:t>5.00</w:t>
            </w:r>
          </w:p>
        </w:tc>
        <w:tc>
          <w:tcPr>
            <w:tcW w:w="410" w:type="pct"/>
            <w:vAlign w:val="center"/>
          </w:tcPr>
          <w:p>
            <w:pPr>
              <w:widowControl/>
              <w:spacing w:line="300" w:lineRule="auto"/>
              <w:ind w:firstLine="0" w:firstLineChars="0"/>
              <w:jc w:val="center"/>
              <w:rPr>
                <w:rFonts w:eastAsia="宋体"/>
                <w:sz w:val="20"/>
                <w:szCs w:val="20"/>
              </w:rPr>
            </w:pPr>
            <w:r>
              <w:rPr>
                <w:rFonts w:eastAsia="宋体"/>
                <w:sz w:val="20"/>
                <w:szCs w:val="20"/>
              </w:rPr>
              <w:t>5.00</w:t>
            </w:r>
          </w:p>
        </w:tc>
        <w:tc>
          <w:tcPr>
            <w:tcW w:w="498" w:type="pct"/>
            <w:vAlign w:val="center"/>
          </w:tcPr>
          <w:p>
            <w:pPr>
              <w:widowControl/>
              <w:spacing w:line="300" w:lineRule="auto"/>
              <w:ind w:firstLine="0" w:firstLineChars="0"/>
              <w:jc w:val="center"/>
              <w:rPr>
                <w:rFonts w:eastAsia="宋体"/>
                <w:sz w:val="20"/>
                <w:szCs w:val="20"/>
              </w:rPr>
            </w:pPr>
            <w:r>
              <w:rPr>
                <w:rFonts w:eastAsia="宋体"/>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80" w:type="pct"/>
            <w:vMerge w:val="continue"/>
            <w:vAlign w:val="center"/>
          </w:tcPr>
          <w:p>
            <w:pPr>
              <w:widowControl/>
              <w:spacing w:line="300" w:lineRule="auto"/>
              <w:ind w:firstLine="0" w:firstLineChars="0"/>
              <w:jc w:val="left"/>
              <w:rPr>
                <w:rFonts w:eastAsia="宋体"/>
                <w:sz w:val="20"/>
                <w:szCs w:val="20"/>
              </w:rPr>
            </w:pPr>
          </w:p>
        </w:tc>
        <w:tc>
          <w:tcPr>
            <w:tcW w:w="713" w:type="pct"/>
            <w:vMerge w:val="continue"/>
            <w:vAlign w:val="center"/>
          </w:tcPr>
          <w:p>
            <w:pPr>
              <w:widowControl/>
              <w:spacing w:line="300" w:lineRule="auto"/>
              <w:ind w:firstLine="0" w:firstLineChars="0"/>
              <w:jc w:val="left"/>
              <w:rPr>
                <w:rFonts w:eastAsia="宋体"/>
                <w:sz w:val="20"/>
                <w:szCs w:val="20"/>
              </w:rPr>
            </w:pPr>
          </w:p>
        </w:tc>
        <w:tc>
          <w:tcPr>
            <w:tcW w:w="1186" w:type="pct"/>
            <w:vAlign w:val="center"/>
          </w:tcPr>
          <w:p>
            <w:pPr>
              <w:widowControl/>
              <w:spacing w:line="300" w:lineRule="auto"/>
              <w:ind w:firstLine="0" w:firstLineChars="0"/>
              <w:rPr>
                <w:rFonts w:eastAsia="宋体"/>
                <w:sz w:val="20"/>
                <w:szCs w:val="20"/>
              </w:rPr>
            </w:pPr>
            <w:r>
              <w:rPr>
                <w:rFonts w:eastAsia="宋体"/>
                <w:sz w:val="20"/>
                <w:szCs w:val="20"/>
              </w:rPr>
              <w:t>B13资金使用合规性</w:t>
            </w:r>
          </w:p>
        </w:tc>
        <w:tc>
          <w:tcPr>
            <w:tcW w:w="500" w:type="pct"/>
            <w:vAlign w:val="center"/>
          </w:tcPr>
          <w:p>
            <w:pPr>
              <w:widowControl/>
              <w:spacing w:line="300" w:lineRule="auto"/>
              <w:ind w:firstLine="0" w:firstLineChars="0"/>
              <w:jc w:val="center"/>
              <w:rPr>
                <w:rFonts w:eastAsia="宋体"/>
                <w:sz w:val="20"/>
                <w:szCs w:val="20"/>
              </w:rPr>
            </w:pPr>
            <w:r>
              <w:rPr>
                <w:rFonts w:eastAsia="宋体"/>
                <w:sz w:val="20"/>
                <w:szCs w:val="20"/>
              </w:rPr>
              <w:t>合规</w:t>
            </w:r>
          </w:p>
        </w:tc>
        <w:tc>
          <w:tcPr>
            <w:tcW w:w="660" w:type="pct"/>
            <w:vAlign w:val="center"/>
          </w:tcPr>
          <w:p>
            <w:pPr>
              <w:widowControl/>
              <w:spacing w:line="300" w:lineRule="auto"/>
              <w:ind w:firstLine="0" w:firstLineChars="0"/>
              <w:jc w:val="center"/>
              <w:rPr>
                <w:rFonts w:eastAsia="宋体"/>
                <w:sz w:val="20"/>
                <w:szCs w:val="20"/>
              </w:rPr>
            </w:pPr>
            <w:r>
              <w:rPr>
                <w:rFonts w:eastAsia="宋体"/>
                <w:sz w:val="20"/>
                <w:szCs w:val="20"/>
              </w:rPr>
              <w:t>合规</w:t>
            </w:r>
          </w:p>
        </w:tc>
        <w:tc>
          <w:tcPr>
            <w:tcW w:w="451" w:type="pct"/>
            <w:vAlign w:val="center"/>
          </w:tcPr>
          <w:p>
            <w:pPr>
              <w:widowControl/>
              <w:spacing w:line="300" w:lineRule="auto"/>
              <w:ind w:firstLine="0" w:firstLineChars="0"/>
              <w:jc w:val="center"/>
              <w:rPr>
                <w:rFonts w:eastAsia="宋体"/>
                <w:sz w:val="20"/>
                <w:szCs w:val="20"/>
              </w:rPr>
            </w:pPr>
            <w:r>
              <w:rPr>
                <w:rFonts w:eastAsia="宋体"/>
                <w:sz w:val="20"/>
                <w:szCs w:val="20"/>
              </w:rPr>
              <w:t>5.00</w:t>
            </w:r>
          </w:p>
        </w:tc>
        <w:tc>
          <w:tcPr>
            <w:tcW w:w="410" w:type="pct"/>
            <w:vAlign w:val="center"/>
          </w:tcPr>
          <w:p>
            <w:pPr>
              <w:widowControl/>
              <w:spacing w:line="300" w:lineRule="auto"/>
              <w:ind w:firstLine="0" w:firstLineChars="0"/>
              <w:jc w:val="center"/>
              <w:rPr>
                <w:rFonts w:eastAsia="宋体"/>
                <w:sz w:val="20"/>
                <w:szCs w:val="20"/>
              </w:rPr>
            </w:pPr>
            <w:r>
              <w:rPr>
                <w:rFonts w:eastAsia="宋体"/>
                <w:sz w:val="20"/>
                <w:szCs w:val="20"/>
              </w:rPr>
              <w:t>5.00</w:t>
            </w:r>
          </w:p>
        </w:tc>
        <w:tc>
          <w:tcPr>
            <w:tcW w:w="498" w:type="pct"/>
            <w:vAlign w:val="center"/>
          </w:tcPr>
          <w:p>
            <w:pPr>
              <w:widowControl/>
              <w:spacing w:line="300" w:lineRule="auto"/>
              <w:ind w:firstLine="0" w:firstLineChars="0"/>
              <w:jc w:val="center"/>
              <w:rPr>
                <w:rFonts w:eastAsia="宋体"/>
                <w:sz w:val="20"/>
                <w:szCs w:val="20"/>
              </w:rPr>
            </w:pPr>
            <w:r>
              <w:rPr>
                <w:rFonts w:eastAsia="宋体"/>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80" w:type="pct"/>
            <w:vMerge w:val="continue"/>
            <w:vAlign w:val="center"/>
          </w:tcPr>
          <w:p>
            <w:pPr>
              <w:widowControl/>
              <w:spacing w:line="300" w:lineRule="auto"/>
              <w:ind w:firstLine="0" w:firstLineChars="0"/>
              <w:jc w:val="left"/>
              <w:rPr>
                <w:rFonts w:eastAsia="宋体"/>
                <w:sz w:val="20"/>
                <w:szCs w:val="20"/>
              </w:rPr>
            </w:pPr>
          </w:p>
        </w:tc>
        <w:tc>
          <w:tcPr>
            <w:tcW w:w="713" w:type="pct"/>
            <w:vMerge w:val="restart"/>
            <w:vAlign w:val="center"/>
          </w:tcPr>
          <w:p>
            <w:pPr>
              <w:widowControl/>
              <w:spacing w:line="300" w:lineRule="auto"/>
              <w:ind w:firstLine="0" w:firstLineChars="0"/>
              <w:jc w:val="left"/>
              <w:rPr>
                <w:rFonts w:eastAsia="宋体"/>
                <w:sz w:val="20"/>
                <w:szCs w:val="20"/>
              </w:rPr>
            </w:pPr>
            <w:r>
              <w:rPr>
                <w:rFonts w:eastAsia="宋体"/>
                <w:sz w:val="20"/>
                <w:szCs w:val="20"/>
              </w:rPr>
              <w:t>B2组织实</w:t>
            </w:r>
          </w:p>
          <w:p>
            <w:pPr>
              <w:widowControl/>
              <w:spacing w:line="300" w:lineRule="auto"/>
              <w:ind w:firstLine="0" w:firstLineChars="0"/>
              <w:jc w:val="left"/>
              <w:rPr>
                <w:rFonts w:eastAsia="宋体"/>
                <w:sz w:val="20"/>
                <w:szCs w:val="20"/>
              </w:rPr>
            </w:pPr>
            <w:r>
              <w:rPr>
                <w:rFonts w:eastAsia="宋体"/>
                <w:sz w:val="20"/>
                <w:szCs w:val="20"/>
              </w:rPr>
              <w:t>施（13.00分）　</w:t>
            </w:r>
          </w:p>
        </w:tc>
        <w:tc>
          <w:tcPr>
            <w:tcW w:w="1186" w:type="pct"/>
            <w:vAlign w:val="center"/>
          </w:tcPr>
          <w:p>
            <w:pPr>
              <w:widowControl/>
              <w:spacing w:line="300" w:lineRule="auto"/>
              <w:ind w:firstLine="0" w:firstLineChars="0"/>
              <w:rPr>
                <w:rFonts w:eastAsia="宋体"/>
                <w:sz w:val="20"/>
                <w:szCs w:val="20"/>
              </w:rPr>
            </w:pPr>
            <w:r>
              <w:rPr>
                <w:rFonts w:eastAsia="宋体"/>
                <w:sz w:val="20"/>
                <w:szCs w:val="20"/>
              </w:rPr>
              <w:t>B21管理制度健全性</w:t>
            </w:r>
          </w:p>
        </w:tc>
        <w:tc>
          <w:tcPr>
            <w:tcW w:w="500" w:type="pct"/>
            <w:vAlign w:val="center"/>
          </w:tcPr>
          <w:p>
            <w:pPr>
              <w:widowControl/>
              <w:spacing w:line="300" w:lineRule="auto"/>
              <w:ind w:firstLine="0" w:firstLineChars="0"/>
              <w:jc w:val="center"/>
              <w:rPr>
                <w:rFonts w:eastAsia="宋体"/>
                <w:sz w:val="20"/>
                <w:szCs w:val="20"/>
              </w:rPr>
            </w:pPr>
            <w:r>
              <w:rPr>
                <w:rFonts w:eastAsia="宋体"/>
                <w:sz w:val="20"/>
                <w:szCs w:val="20"/>
              </w:rPr>
              <w:t>健全</w:t>
            </w:r>
          </w:p>
        </w:tc>
        <w:tc>
          <w:tcPr>
            <w:tcW w:w="660" w:type="pct"/>
            <w:vAlign w:val="center"/>
          </w:tcPr>
          <w:p>
            <w:pPr>
              <w:widowControl/>
              <w:spacing w:line="300" w:lineRule="auto"/>
              <w:ind w:firstLine="0" w:firstLineChars="0"/>
              <w:jc w:val="center"/>
              <w:rPr>
                <w:rFonts w:eastAsia="宋体"/>
                <w:sz w:val="20"/>
                <w:szCs w:val="20"/>
              </w:rPr>
            </w:pPr>
            <w:r>
              <w:rPr>
                <w:rFonts w:eastAsia="宋体"/>
                <w:sz w:val="20"/>
                <w:szCs w:val="20"/>
              </w:rPr>
              <w:t>健全</w:t>
            </w:r>
          </w:p>
        </w:tc>
        <w:tc>
          <w:tcPr>
            <w:tcW w:w="451" w:type="pct"/>
            <w:vAlign w:val="center"/>
          </w:tcPr>
          <w:p>
            <w:pPr>
              <w:widowControl/>
              <w:spacing w:line="300" w:lineRule="auto"/>
              <w:ind w:firstLine="0" w:firstLineChars="0"/>
              <w:jc w:val="center"/>
              <w:rPr>
                <w:rFonts w:eastAsia="宋体"/>
                <w:sz w:val="20"/>
                <w:szCs w:val="20"/>
              </w:rPr>
            </w:pPr>
            <w:r>
              <w:rPr>
                <w:rFonts w:eastAsia="宋体"/>
                <w:sz w:val="20"/>
                <w:szCs w:val="20"/>
              </w:rPr>
              <w:t>4.00</w:t>
            </w:r>
          </w:p>
        </w:tc>
        <w:tc>
          <w:tcPr>
            <w:tcW w:w="410" w:type="pct"/>
            <w:vAlign w:val="center"/>
          </w:tcPr>
          <w:p>
            <w:pPr>
              <w:widowControl/>
              <w:spacing w:line="300" w:lineRule="auto"/>
              <w:ind w:firstLine="0" w:firstLineChars="0"/>
              <w:jc w:val="center"/>
              <w:rPr>
                <w:rFonts w:eastAsia="宋体"/>
                <w:sz w:val="20"/>
                <w:szCs w:val="20"/>
              </w:rPr>
            </w:pPr>
            <w:r>
              <w:rPr>
                <w:rFonts w:eastAsia="宋体"/>
                <w:sz w:val="20"/>
                <w:szCs w:val="20"/>
              </w:rPr>
              <w:t>4.00</w:t>
            </w:r>
          </w:p>
        </w:tc>
        <w:tc>
          <w:tcPr>
            <w:tcW w:w="498" w:type="pct"/>
            <w:vAlign w:val="center"/>
          </w:tcPr>
          <w:p>
            <w:pPr>
              <w:widowControl/>
              <w:spacing w:line="300" w:lineRule="auto"/>
              <w:ind w:firstLine="0" w:firstLineChars="0"/>
              <w:jc w:val="center"/>
              <w:rPr>
                <w:rFonts w:eastAsia="宋体"/>
                <w:sz w:val="20"/>
                <w:szCs w:val="20"/>
              </w:rPr>
            </w:pPr>
            <w:r>
              <w:rPr>
                <w:rFonts w:eastAsia="宋体"/>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80" w:type="pct"/>
            <w:vMerge w:val="continue"/>
            <w:vAlign w:val="center"/>
          </w:tcPr>
          <w:p>
            <w:pPr>
              <w:widowControl/>
              <w:spacing w:line="300" w:lineRule="auto"/>
              <w:ind w:firstLine="0" w:firstLineChars="0"/>
              <w:jc w:val="left"/>
              <w:rPr>
                <w:rFonts w:eastAsia="宋体"/>
                <w:sz w:val="20"/>
                <w:szCs w:val="20"/>
              </w:rPr>
            </w:pPr>
          </w:p>
        </w:tc>
        <w:tc>
          <w:tcPr>
            <w:tcW w:w="713" w:type="pct"/>
            <w:vMerge w:val="continue"/>
            <w:vAlign w:val="center"/>
          </w:tcPr>
          <w:p>
            <w:pPr>
              <w:widowControl/>
              <w:spacing w:line="300" w:lineRule="auto"/>
              <w:ind w:firstLine="0" w:firstLineChars="0"/>
              <w:rPr>
                <w:rFonts w:eastAsia="宋体"/>
                <w:sz w:val="20"/>
                <w:szCs w:val="20"/>
              </w:rPr>
            </w:pPr>
          </w:p>
        </w:tc>
        <w:tc>
          <w:tcPr>
            <w:tcW w:w="1186" w:type="pct"/>
            <w:vAlign w:val="center"/>
          </w:tcPr>
          <w:p>
            <w:pPr>
              <w:widowControl/>
              <w:spacing w:line="300" w:lineRule="auto"/>
              <w:ind w:firstLine="0" w:firstLineChars="0"/>
              <w:rPr>
                <w:rFonts w:eastAsia="宋体"/>
                <w:sz w:val="20"/>
                <w:szCs w:val="20"/>
              </w:rPr>
            </w:pPr>
            <w:r>
              <w:rPr>
                <w:rFonts w:eastAsia="宋体"/>
                <w:sz w:val="20"/>
                <w:szCs w:val="20"/>
              </w:rPr>
              <w:t>B22制度执行有效性</w:t>
            </w:r>
          </w:p>
        </w:tc>
        <w:tc>
          <w:tcPr>
            <w:tcW w:w="500" w:type="pct"/>
            <w:vAlign w:val="center"/>
          </w:tcPr>
          <w:p>
            <w:pPr>
              <w:widowControl/>
              <w:spacing w:line="300" w:lineRule="auto"/>
              <w:ind w:firstLine="0" w:firstLineChars="0"/>
              <w:jc w:val="center"/>
              <w:rPr>
                <w:rFonts w:eastAsia="宋体"/>
                <w:sz w:val="20"/>
                <w:szCs w:val="20"/>
              </w:rPr>
            </w:pPr>
            <w:r>
              <w:rPr>
                <w:rFonts w:eastAsia="宋体"/>
                <w:sz w:val="20"/>
                <w:szCs w:val="20"/>
              </w:rPr>
              <w:t>有效</w:t>
            </w:r>
          </w:p>
        </w:tc>
        <w:tc>
          <w:tcPr>
            <w:tcW w:w="660" w:type="pct"/>
            <w:vAlign w:val="center"/>
          </w:tcPr>
          <w:p>
            <w:pPr>
              <w:widowControl/>
              <w:spacing w:line="300" w:lineRule="auto"/>
              <w:ind w:firstLine="0" w:firstLineChars="0"/>
              <w:jc w:val="center"/>
              <w:rPr>
                <w:rFonts w:eastAsia="宋体"/>
                <w:sz w:val="20"/>
                <w:szCs w:val="20"/>
              </w:rPr>
            </w:pPr>
            <w:r>
              <w:rPr>
                <w:rFonts w:eastAsia="宋体"/>
                <w:sz w:val="20"/>
                <w:szCs w:val="20"/>
              </w:rPr>
              <w:t>较有效</w:t>
            </w:r>
          </w:p>
        </w:tc>
        <w:tc>
          <w:tcPr>
            <w:tcW w:w="451" w:type="pct"/>
            <w:vAlign w:val="center"/>
          </w:tcPr>
          <w:p>
            <w:pPr>
              <w:widowControl/>
              <w:spacing w:line="300" w:lineRule="auto"/>
              <w:ind w:firstLine="0" w:firstLineChars="0"/>
              <w:jc w:val="center"/>
              <w:rPr>
                <w:rFonts w:eastAsia="宋体"/>
                <w:sz w:val="20"/>
                <w:szCs w:val="20"/>
              </w:rPr>
            </w:pPr>
            <w:r>
              <w:rPr>
                <w:rFonts w:eastAsia="宋体"/>
                <w:sz w:val="20"/>
                <w:szCs w:val="20"/>
              </w:rPr>
              <w:t>8.00</w:t>
            </w:r>
          </w:p>
        </w:tc>
        <w:tc>
          <w:tcPr>
            <w:tcW w:w="410" w:type="pct"/>
            <w:vAlign w:val="center"/>
          </w:tcPr>
          <w:p>
            <w:pPr>
              <w:widowControl/>
              <w:spacing w:line="300" w:lineRule="auto"/>
              <w:ind w:firstLine="0" w:firstLineChars="0"/>
              <w:jc w:val="center"/>
              <w:rPr>
                <w:rFonts w:eastAsia="宋体"/>
                <w:sz w:val="20"/>
                <w:szCs w:val="20"/>
              </w:rPr>
            </w:pPr>
            <w:r>
              <w:rPr>
                <w:rFonts w:eastAsia="宋体"/>
                <w:sz w:val="20"/>
                <w:szCs w:val="20"/>
              </w:rPr>
              <w:t>7.00</w:t>
            </w:r>
          </w:p>
        </w:tc>
        <w:tc>
          <w:tcPr>
            <w:tcW w:w="498" w:type="pct"/>
            <w:vAlign w:val="center"/>
          </w:tcPr>
          <w:p>
            <w:pPr>
              <w:widowControl/>
              <w:spacing w:line="300" w:lineRule="auto"/>
              <w:ind w:firstLine="0" w:firstLineChars="0"/>
              <w:jc w:val="center"/>
              <w:rPr>
                <w:rFonts w:eastAsia="宋体"/>
                <w:sz w:val="20"/>
                <w:szCs w:val="20"/>
              </w:rPr>
            </w:pPr>
            <w:r>
              <w:rPr>
                <w:rFonts w:eastAsia="宋体"/>
                <w:sz w:val="20"/>
                <w:szCs w:val="20"/>
              </w:rPr>
              <w:t>87.5</w:t>
            </w:r>
            <w:r>
              <w:rPr>
                <w:rFonts w:hint="eastAsia" w:eastAsia="宋体"/>
                <w:sz w:val="20"/>
                <w:szCs w:val="20"/>
              </w:rPr>
              <w:t>0</w:t>
            </w:r>
            <w:r>
              <w:rPr>
                <w:rFonts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479" w:type="pct"/>
            <w:gridSpan w:val="3"/>
            <w:vAlign w:val="center"/>
          </w:tcPr>
          <w:p>
            <w:pPr>
              <w:widowControl/>
              <w:spacing w:line="300" w:lineRule="auto"/>
              <w:ind w:firstLine="0" w:firstLineChars="0"/>
              <w:jc w:val="center"/>
              <w:rPr>
                <w:rFonts w:eastAsia="宋体"/>
                <w:sz w:val="20"/>
                <w:szCs w:val="20"/>
              </w:rPr>
            </w:pPr>
            <w:r>
              <w:rPr>
                <w:rFonts w:eastAsia="宋体"/>
                <w:sz w:val="20"/>
                <w:szCs w:val="20"/>
              </w:rPr>
              <w:t>合计</w:t>
            </w:r>
          </w:p>
        </w:tc>
        <w:tc>
          <w:tcPr>
            <w:tcW w:w="500" w:type="pct"/>
            <w:vAlign w:val="center"/>
          </w:tcPr>
          <w:p>
            <w:pPr>
              <w:widowControl/>
              <w:spacing w:line="300" w:lineRule="auto"/>
              <w:ind w:firstLine="0" w:firstLineChars="0"/>
              <w:jc w:val="center"/>
              <w:rPr>
                <w:rFonts w:eastAsia="宋体"/>
                <w:sz w:val="20"/>
                <w:szCs w:val="20"/>
              </w:rPr>
            </w:pPr>
          </w:p>
        </w:tc>
        <w:tc>
          <w:tcPr>
            <w:tcW w:w="660" w:type="pct"/>
            <w:vAlign w:val="center"/>
          </w:tcPr>
          <w:p>
            <w:pPr>
              <w:widowControl/>
              <w:spacing w:line="300" w:lineRule="auto"/>
              <w:ind w:firstLine="0" w:firstLineChars="0"/>
              <w:jc w:val="center"/>
              <w:rPr>
                <w:rFonts w:eastAsia="宋体"/>
                <w:sz w:val="20"/>
                <w:szCs w:val="20"/>
              </w:rPr>
            </w:pPr>
          </w:p>
        </w:tc>
        <w:tc>
          <w:tcPr>
            <w:tcW w:w="451" w:type="pct"/>
            <w:vAlign w:val="center"/>
          </w:tcPr>
          <w:p>
            <w:pPr>
              <w:widowControl/>
              <w:spacing w:line="300" w:lineRule="auto"/>
              <w:ind w:firstLine="0" w:firstLineChars="0"/>
              <w:jc w:val="center"/>
              <w:rPr>
                <w:rFonts w:eastAsia="宋体"/>
                <w:sz w:val="20"/>
                <w:szCs w:val="20"/>
              </w:rPr>
            </w:pPr>
            <w:r>
              <w:rPr>
                <w:rFonts w:eastAsia="宋体"/>
                <w:sz w:val="20"/>
                <w:szCs w:val="20"/>
              </w:rPr>
              <w:t>25.00</w:t>
            </w:r>
          </w:p>
        </w:tc>
        <w:tc>
          <w:tcPr>
            <w:tcW w:w="410" w:type="pct"/>
            <w:vAlign w:val="center"/>
          </w:tcPr>
          <w:p>
            <w:pPr>
              <w:widowControl/>
              <w:spacing w:line="300" w:lineRule="auto"/>
              <w:ind w:firstLine="0" w:firstLineChars="0"/>
              <w:jc w:val="center"/>
              <w:rPr>
                <w:rFonts w:eastAsia="宋体"/>
                <w:sz w:val="20"/>
                <w:szCs w:val="20"/>
              </w:rPr>
            </w:pPr>
            <w:r>
              <w:rPr>
                <w:rFonts w:eastAsia="宋体"/>
                <w:sz w:val="20"/>
                <w:szCs w:val="20"/>
              </w:rPr>
              <w:t>24.00</w:t>
            </w:r>
          </w:p>
        </w:tc>
        <w:tc>
          <w:tcPr>
            <w:tcW w:w="498" w:type="pct"/>
            <w:vAlign w:val="center"/>
          </w:tcPr>
          <w:p>
            <w:pPr>
              <w:widowControl/>
              <w:spacing w:line="300" w:lineRule="auto"/>
              <w:ind w:firstLine="0" w:firstLineChars="0"/>
              <w:jc w:val="center"/>
              <w:rPr>
                <w:rFonts w:eastAsia="宋体"/>
                <w:sz w:val="20"/>
                <w:szCs w:val="20"/>
              </w:rPr>
            </w:pPr>
            <w:r>
              <w:rPr>
                <w:rFonts w:eastAsia="宋体"/>
                <w:sz w:val="20"/>
                <w:szCs w:val="20"/>
              </w:rPr>
              <w:t>96.00%</w:t>
            </w:r>
          </w:p>
        </w:tc>
      </w:tr>
    </w:tbl>
    <w:p>
      <w:pPr>
        <w:ind w:firstLine="422"/>
        <w:rPr>
          <w:rFonts w:eastAsia="宋体"/>
          <w:b/>
          <w:bCs/>
        </w:rPr>
      </w:pPr>
    </w:p>
    <w:p>
      <w:pPr>
        <w:ind w:firstLine="422"/>
      </w:pPr>
      <w:r>
        <w:rPr>
          <w:rFonts w:eastAsia="宋体"/>
          <w:b/>
          <w:bCs/>
        </w:rPr>
        <w:t>指标得分分析</w:t>
      </w:r>
      <w:r>
        <w:rPr>
          <w:b/>
          <w:bCs/>
        </w:rPr>
        <w:t>：</w:t>
      </w:r>
    </w:p>
    <w:p>
      <w:pPr>
        <w:widowControl/>
        <w:ind w:firstLine="422"/>
        <w:jc w:val="left"/>
        <w:rPr>
          <w:rFonts w:eastAsia="宋体"/>
          <w:b/>
          <w:bCs/>
        </w:rPr>
      </w:pPr>
      <w:r>
        <w:rPr>
          <w:rFonts w:eastAsia="宋体"/>
          <w:b/>
          <w:bCs/>
        </w:rPr>
        <w:t>（1）B11资金到位率指标：</w:t>
      </w:r>
    </w:p>
    <w:p>
      <w:pPr>
        <w:ind w:firstLine="420"/>
        <w:rPr>
          <w:rFonts w:eastAsia="宋体"/>
        </w:rPr>
      </w:pPr>
      <w:r>
        <w:rPr>
          <w:rFonts w:eastAsia="宋体"/>
        </w:rPr>
        <w:t>根据专项资金下达文件及资金拨付文件分析可知，该项目预算金额为5412.00万元，确认到位资金5412.00万元，资金到位率=（实际到位资金/预算资金）×100.00% =（5412.00/5</w:t>
      </w:r>
      <w:r>
        <w:rPr>
          <w:rFonts w:hint="eastAsia" w:eastAsia="宋体"/>
          <w:lang w:eastAsia="zh-CN"/>
        </w:rPr>
        <w:t>，</w:t>
      </w:r>
      <w:r>
        <w:rPr>
          <w:rFonts w:eastAsia="宋体"/>
        </w:rPr>
        <w:t>412.00）×100.00%=100.00%。</w:t>
      </w:r>
    </w:p>
    <w:p>
      <w:pPr>
        <w:ind w:firstLine="420"/>
        <w:rPr>
          <w:rFonts w:eastAsia="宋体"/>
        </w:rPr>
      </w:pPr>
      <w:r>
        <w:rPr>
          <w:rFonts w:eastAsia="宋体"/>
        </w:rPr>
        <w:t>该指标满分为3.00分，根据评分标准得3.00分。</w:t>
      </w:r>
    </w:p>
    <w:p>
      <w:pPr>
        <w:widowControl/>
        <w:ind w:firstLine="422"/>
        <w:jc w:val="left"/>
        <w:rPr>
          <w:rFonts w:eastAsia="宋体"/>
          <w:b/>
          <w:bCs/>
        </w:rPr>
      </w:pPr>
      <w:r>
        <w:rPr>
          <w:rFonts w:eastAsia="宋体"/>
          <w:b/>
          <w:bCs/>
        </w:rPr>
        <w:t>（2）B12预算执行率指标：</w:t>
      </w:r>
    </w:p>
    <w:p>
      <w:pPr>
        <w:ind w:firstLine="420"/>
        <w:rPr>
          <w:rFonts w:eastAsia="宋体"/>
        </w:rPr>
      </w:pPr>
      <w:r>
        <w:rPr>
          <w:rFonts w:eastAsia="宋体"/>
        </w:rPr>
        <w:t>经查证《巴楚县各乡镇第一批农机报废补贴资金打卡台账》《巴楚县各乡镇2022年第二批农机报废补贴资金打卡台账》《关于申请拨付巴楚县2022年第二批农机报废补贴资金的报告》《国库集中支付凭证》等资金支付凭证资料可知，项目实际到位资金5412.00万元，实际支出资金5402.91万元，预算执行率=（实际支出资金/实际到位资金）×100.00% =（5402.91/5</w:t>
      </w:r>
      <w:r>
        <w:rPr>
          <w:rFonts w:hint="eastAsia" w:eastAsia="宋体"/>
          <w:lang w:eastAsia="zh-CN"/>
        </w:rPr>
        <w:t>，</w:t>
      </w:r>
      <w:r>
        <w:rPr>
          <w:rFonts w:eastAsia="宋体"/>
        </w:rPr>
        <w:t>412.00）×100.00%=99.83%。</w:t>
      </w:r>
    </w:p>
    <w:p>
      <w:pPr>
        <w:ind w:firstLine="420"/>
        <w:rPr>
          <w:rFonts w:eastAsia="宋体"/>
        </w:rPr>
      </w:pPr>
      <w:r>
        <w:rPr>
          <w:rFonts w:eastAsia="宋体"/>
        </w:rPr>
        <w:t>该指标满分为5.00分，根据评分标准得5.00分。</w:t>
      </w:r>
    </w:p>
    <w:p>
      <w:pPr>
        <w:widowControl/>
        <w:ind w:firstLine="422"/>
        <w:jc w:val="left"/>
        <w:rPr>
          <w:rFonts w:eastAsia="宋体"/>
          <w:b/>
          <w:bCs/>
        </w:rPr>
      </w:pPr>
      <w:r>
        <w:rPr>
          <w:rFonts w:eastAsia="宋体"/>
          <w:b/>
          <w:bCs/>
        </w:rPr>
        <w:t>（3）B13资金使用合规性指标：</w:t>
      </w:r>
    </w:p>
    <w:p>
      <w:pPr>
        <w:ind w:firstLine="420"/>
        <w:rPr>
          <w:rFonts w:eastAsia="宋体"/>
        </w:rPr>
      </w:pPr>
      <w:r>
        <w:rPr>
          <w:rFonts w:eastAsia="宋体"/>
        </w:rPr>
        <w:t>①经查证，项目资金使用符合项目实施单位《巴楚县农业农村机械化发展中心预算管理内部控制制度》《巴楚县农业农村机械化发展中心支出管理制度》有关财务管理制度以及</w:t>
      </w:r>
      <w:r>
        <w:t>《巴楚县农业机械报废更新补贴实施方案》和</w:t>
      </w:r>
      <w:r>
        <w:rPr>
          <w:rFonts w:eastAsia="宋体"/>
        </w:rPr>
        <w:t>《关于印发&lt;巴楚县2022年农机购置与应用补贴试点方案&gt;的通知》（巴政办发〔2022〕48号）的规定，资金拨付有完整的审批程序和手续。</w:t>
      </w:r>
    </w:p>
    <w:p>
      <w:pPr>
        <w:ind w:firstLine="420"/>
        <w:rPr>
          <w:rFonts w:eastAsia="宋体"/>
        </w:rPr>
      </w:pPr>
      <w:r>
        <w:rPr>
          <w:rFonts w:eastAsia="宋体"/>
        </w:rPr>
        <w:t>②根据资金下达文件、资金申请报告、实施方案及支出资料，项目资金用于支付2022年农业机械购置补贴项目，符合预算批复和目标表中规定的用途。经查证项目财务凭证、业务凭证等资料，项目资金使用不存在截留、挤占、挪用、虚列支出等情况。</w:t>
      </w:r>
    </w:p>
    <w:p>
      <w:pPr>
        <w:ind w:firstLine="420"/>
        <w:rPr>
          <w:rFonts w:eastAsia="宋体"/>
        </w:rPr>
      </w:pPr>
      <w:r>
        <w:rPr>
          <w:rFonts w:eastAsia="宋体"/>
        </w:rPr>
        <w:t>该指标满分为5.00分，根据评分标准得5.00分。</w:t>
      </w:r>
    </w:p>
    <w:p>
      <w:pPr>
        <w:widowControl/>
        <w:ind w:firstLine="422"/>
        <w:jc w:val="left"/>
        <w:rPr>
          <w:rFonts w:eastAsia="宋体"/>
          <w:b/>
          <w:bCs/>
        </w:rPr>
      </w:pPr>
      <w:r>
        <w:rPr>
          <w:rFonts w:eastAsia="宋体"/>
          <w:b/>
          <w:bCs/>
        </w:rPr>
        <w:t>（4）B21管理制度健全性指标：</w:t>
      </w:r>
    </w:p>
    <w:p>
      <w:pPr>
        <w:ind w:firstLine="420"/>
        <w:rPr>
          <w:rFonts w:eastAsia="宋体"/>
        </w:rPr>
      </w:pPr>
      <w:r>
        <w:rPr>
          <w:rFonts w:eastAsia="宋体"/>
        </w:rPr>
        <w:t>①经查证，巴楚县农业农村机械化发展中心提供的相关制度，该项目实施单位已制定相应的制度《巴楚县农业农村机械化发展中心预算管理内部控制制度》《巴楚县农业农村机械化发展中心支出管理制度》。</w:t>
      </w:r>
    </w:p>
    <w:p>
      <w:pPr>
        <w:ind w:firstLine="420"/>
        <w:rPr>
          <w:rFonts w:eastAsia="宋体"/>
        </w:rPr>
      </w:pPr>
      <w:r>
        <w:rPr>
          <w:rFonts w:eastAsia="宋体"/>
        </w:rPr>
        <w:t>②经查看上述制度内容，已建立的制度均符合行政事业单位内控管理要求，财务和业务管理制度详细，能够指导项目规范实施。</w:t>
      </w:r>
    </w:p>
    <w:p>
      <w:pPr>
        <w:ind w:firstLine="420"/>
        <w:rPr>
          <w:rFonts w:eastAsia="宋体"/>
        </w:rPr>
      </w:pPr>
      <w:r>
        <w:rPr>
          <w:rFonts w:eastAsia="宋体"/>
        </w:rPr>
        <w:t>该指标满分为4.00分，根据评分标准得4.00分。</w:t>
      </w:r>
    </w:p>
    <w:p>
      <w:pPr>
        <w:widowControl/>
        <w:ind w:firstLine="422"/>
        <w:jc w:val="left"/>
        <w:rPr>
          <w:rFonts w:eastAsia="宋体"/>
          <w:b/>
          <w:bCs/>
        </w:rPr>
      </w:pPr>
      <w:r>
        <w:rPr>
          <w:rFonts w:eastAsia="宋体"/>
          <w:b/>
          <w:bCs/>
        </w:rPr>
        <w:t>（5）B22制度执行有效性指标：</w:t>
      </w:r>
    </w:p>
    <w:p>
      <w:pPr>
        <w:ind w:firstLine="420"/>
        <w:rPr>
          <w:rFonts w:eastAsia="宋体"/>
        </w:rPr>
      </w:pPr>
      <w:r>
        <w:rPr>
          <w:rFonts w:eastAsia="宋体"/>
        </w:rPr>
        <w:t>①经查证《巴楚县农业机械报废更新补贴实施方案》《巴楚县2022年第二批享受农机购置补贴的购机者公示表》《巴楚县各乡镇2022年第一批享受农机报废更新补贴的受益户公示表》《关于申请拨付巴楚县2022年第二批农机报废补贴资金的报告》等，该项目严格按照《巴楚县农业机械报废更新补贴实施方案》中对补贴条件、标准和流程的要求，由巴楚县农业农村机械化发展中心对提交的补贴申请信息进行认证与审核，信息审核通过后对符合条件可以受理的在农机购置补贴信息公开专栏与乡村公示栏中进行公示，公示完成后，由巴楚县财政局审核巴楚县农业农村机械化发展中心提交的资金兑付申请与有关材料，对符合要求的农机按照有关规定予以兑付，该项目的实施遵守相关法律法规和相关管理规定。</w:t>
      </w:r>
    </w:p>
    <w:p>
      <w:pPr>
        <w:ind w:firstLine="420"/>
        <w:rPr>
          <w:rFonts w:eastAsia="宋体"/>
        </w:rPr>
      </w:pPr>
      <w:r>
        <w:rPr>
          <w:rFonts w:eastAsia="宋体"/>
        </w:rPr>
        <w:t>②经查证，该项目实施情况和年初实施方案及文件内容执行一致，不存在调整。</w:t>
      </w:r>
    </w:p>
    <w:p>
      <w:pPr>
        <w:ind w:firstLine="420"/>
        <w:rPr>
          <w:rFonts w:eastAsia="宋体"/>
        </w:rPr>
      </w:pPr>
      <w:r>
        <w:rPr>
          <w:rFonts w:eastAsia="宋体"/>
        </w:rPr>
        <w:t>③</w:t>
      </w:r>
      <w:r>
        <w:t>经核查项目档案，该项目已归档资料较为齐全，具体包括：实施方案、政策文件、资金支付资料等。但该项目实施单位提供的资料没有具体反映出是否积极组织农户机具投档，补贴机具选定过程是否公平合理，该部分资料未统一收集进行存档，根据评分标准，扣除1.00分</w:t>
      </w:r>
      <w:r>
        <w:rPr>
          <w:rFonts w:eastAsia="宋体"/>
        </w:rPr>
        <w:t>。</w:t>
      </w:r>
    </w:p>
    <w:p>
      <w:pPr>
        <w:ind w:firstLine="420"/>
        <w:rPr>
          <w:rFonts w:eastAsia="宋体"/>
        </w:rPr>
      </w:pPr>
      <w:r>
        <w:rPr>
          <w:rFonts w:eastAsia="宋体"/>
        </w:rPr>
        <w:t>④经查证项目单位提供的印证材料以及现场调研，项目实施的人员条件、场地设备、信息支撑等均落实到位。</w:t>
      </w:r>
    </w:p>
    <w:p>
      <w:pPr>
        <w:ind w:firstLine="420"/>
      </w:pPr>
      <w:r>
        <w:rPr>
          <w:rFonts w:eastAsia="宋体"/>
        </w:rPr>
        <w:t>该指标满分为8.00分，根据评分标准得7.00分。</w:t>
      </w:r>
    </w:p>
    <w:p>
      <w:pPr>
        <w:pStyle w:val="6"/>
        <w:ind w:firstLine="482"/>
        <w:rPr>
          <w:rFonts w:ascii="Times New Roman" w:hAnsi="Times New Roman"/>
        </w:rPr>
      </w:pPr>
      <w:bookmarkStart w:id="56" w:name="_Toc17539"/>
      <w:r>
        <w:rPr>
          <w:rFonts w:ascii="Times New Roman" w:hAnsi="Times New Roman"/>
        </w:rPr>
        <w:t>（三）项目产出情况</w:t>
      </w:r>
      <w:bookmarkEnd w:id="56"/>
      <w:r>
        <w:rPr>
          <w:rFonts w:ascii="Times New Roman" w:hAnsi="Times New Roman"/>
        </w:rPr>
        <w:t xml:space="preserve"> </w:t>
      </w:r>
    </w:p>
    <w:p>
      <w:pPr>
        <w:ind w:firstLine="420"/>
        <w:jc w:val="left"/>
      </w:pPr>
      <w:r>
        <w:t>项目产出指标</w:t>
      </w:r>
      <w:r>
        <w:rPr>
          <w:rFonts w:eastAsia="宋体"/>
        </w:rPr>
        <w:t>由4个二级和8个三级指标构成，权重分值35.00分，实际得分34.99分，得分率为99.97%。各指标业绩值</w:t>
      </w:r>
      <w:r>
        <w:t>和绩效分值如下表所示：</w:t>
      </w:r>
    </w:p>
    <w:p>
      <w:pPr>
        <w:ind w:firstLine="0" w:firstLineChars="0"/>
        <w:jc w:val="center"/>
        <w:rPr>
          <w:rFonts w:eastAsia="黑体"/>
          <w:szCs w:val="16"/>
        </w:rPr>
      </w:pPr>
      <w:r>
        <w:rPr>
          <w:rFonts w:eastAsia="黑体"/>
          <w:szCs w:val="16"/>
        </w:rPr>
        <w:t>表4-3：项目产出指标及分值</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60"/>
        <w:gridCol w:w="1086"/>
        <w:gridCol w:w="2025"/>
        <w:gridCol w:w="1227"/>
        <w:gridCol w:w="877"/>
        <w:gridCol w:w="687"/>
        <w:gridCol w:w="66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trPr>
        <w:tc>
          <w:tcPr>
            <w:tcW w:w="571"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一级指标</w:t>
            </w:r>
          </w:p>
        </w:tc>
        <w:tc>
          <w:tcPr>
            <w:tcW w:w="646"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二级指标</w:t>
            </w:r>
          </w:p>
        </w:tc>
        <w:tc>
          <w:tcPr>
            <w:tcW w:w="1205"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三级指标</w:t>
            </w:r>
          </w:p>
        </w:tc>
        <w:tc>
          <w:tcPr>
            <w:tcW w:w="730"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目标值</w:t>
            </w:r>
          </w:p>
        </w:tc>
        <w:tc>
          <w:tcPr>
            <w:tcW w:w="522" w:type="pct"/>
            <w:vAlign w:val="center"/>
          </w:tcPr>
          <w:p>
            <w:pPr>
              <w:widowControl/>
              <w:spacing w:line="240" w:lineRule="auto"/>
              <w:ind w:firstLine="0" w:firstLineChars="0"/>
              <w:jc w:val="center"/>
              <w:textAlignment w:val="center"/>
              <w:rPr>
                <w:rFonts w:eastAsia="宋体"/>
                <w:b/>
                <w:kern w:val="0"/>
                <w:sz w:val="20"/>
                <w:szCs w:val="20"/>
                <w:lang w:bidi="ar"/>
              </w:rPr>
            </w:pPr>
            <w:r>
              <w:rPr>
                <w:rFonts w:eastAsia="宋体"/>
                <w:b/>
                <w:kern w:val="0"/>
                <w:sz w:val="20"/>
                <w:szCs w:val="20"/>
                <w:lang w:bidi="ar"/>
              </w:rPr>
              <w:t>实际完成值</w:t>
            </w:r>
          </w:p>
        </w:tc>
        <w:tc>
          <w:tcPr>
            <w:tcW w:w="409"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权重</w:t>
            </w:r>
          </w:p>
        </w:tc>
        <w:tc>
          <w:tcPr>
            <w:tcW w:w="398"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得分</w:t>
            </w:r>
          </w:p>
        </w:tc>
        <w:tc>
          <w:tcPr>
            <w:tcW w:w="520" w:type="pct"/>
            <w:vAlign w:val="center"/>
          </w:tcPr>
          <w:p>
            <w:pPr>
              <w:widowControl/>
              <w:spacing w:line="240" w:lineRule="auto"/>
              <w:ind w:firstLine="0" w:firstLineChars="0"/>
              <w:jc w:val="center"/>
              <w:textAlignment w:val="center"/>
              <w:rPr>
                <w:rFonts w:eastAsia="宋体"/>
                <w:b/>
                <w:kern w:val="0"/>
                <w:sz w:val="20"/>
                <w:szCs w:val="20"/>
                <w:lang w:bidi="ar"/>
              </w:rPr>
            </w:pPr>
            <w:r>
              <w:rPr>
                <w:rFonts w:eastAsia="宋体"/>
                <w:b/>
                <w:kern w:val="0"/>
                <w:sz w:val="20"/>
                <w:szCs w:val="20"/>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1" w:type="pct"/>
            <w:vMerge w:val="restart"/>
            <w:vAlign w:val="center"/>
          </w:tcPr>
          <w:p>
            <w:pPr>
              <w:widowControl/>
              <w:spacing w:line="240" w:lineRule="auto"/>
              <w:ind w:firstLine="0" w:firstLineChars="0"/>
              <w:jc w:val="left"/>
              <w:textAlignment w:val="center"/>
              <w:rPr>
                <w:rFonts w:eastAsia="宋体"/>
                <w:sz w:val="20"/>
                <w:szCs w:val="20"/>
              </w:rPr>
            </w:pPr>
            <w:r>
              <w:rPr>
                <w:rFonts w:eastAsia="宋体"/>
                <w:kern w:val="0"/>
                <w:sz w:val="20"/>
                <w:szCs w:val="20"/>
                <w:lang w:bidi="ar"/>
              </w:rPr>
              <w:t>C产出</w:t>
            </w:r>
            <w:r>
              <w:rPr>
                <w:rFonts w:eastAsia="宋体"/>
                <w:kern w:val="0"/>
                <w:sz w:val="20"/>
                <w:szCs w:val="20"/>
                <w:lang w:bidi="ar"/>
              </w:rPr>
              <w:br w:type="textWrapping"/>
            </w:r>
            <w:r>
              <w:rPr>
                <w:rFonts w:eastAsia="宋体"/>
                <w:kern w:val="0"/>
                <w:sz w:val="20"/>
                <w:szCs w:val="20"/>
                <w:lang w:bidi="ar"/>
              </w:rPr>
              <w:t>（35.00分）</w:t>
            </w:r>
          </w:p>
        </w:tc>
        <w:tc>
          <w:tcPr>
            <w:tcW w:w="646" w:type="pct"/>
            <w:vMerge w:val="restart"/>
            <w:vAlign w:val="center"/>
          </w:tcPr>
          <w:p>
            <w:pPr>
              <w:widowControl/>
              <w:spacing w:line="240" w:lineRule="auto"/>
              <w:ind w:firstLine="0" w:firstLineChars="0"/>
              <w:jc w:val="left"/>
              <w:textAlignment w:val="center"/>
              <w:rPr>
                <w:rFonts w:eastAsia="宋体"/>
                <w:kern w:val="0"/>
                <w:sz w:val="20"/>
                <w:szCs w:val="20"/>
                <w:lang w:bidi="ar"/>
              </w:rPr>
            </w:pPr>
            <w:r>
              <w:rPr>
                <w:rFonts w:eastAsia="宋体"/>
                <w:kern w:val="0"/>
                <w:sz w:val="20"/>
                <w:szCs w:val="20"/>
                <w:lang w:bidi="ar"/>
              </w:rPr>
              <w:t>C1产出数量（16.00分）</w:t>
            </w:r>
          </w:p>
        </w:tc>
        <w:tc>
          <w:tcPr>
            <w:tcW w:w="1205" w:type="pct"/>
            <w:vAlign w:val="center"/>
          </w:tcPr>
          <w:p>
            <w:pPr>
              <w:widowControl/>
              <w:spacing w:line="240" w:lineRule="auto"/>
              <w:ind w:firstLine="0" w:firstLineChars="0"/>
              <w:jc w:val="left"/>
              <w:textAlignment w:val="center"/>
              <w:rPr>
                <w:rFonts w:eastAsia="宋体"/>
                <w:kern w:val="0"/>
                <w:sz w:val="20"/>
                <w:szCs w:val="20"/>
                <w:lang w:bidi="ar"/>
              </w:rPr>
            </w:pPr>
            <w:r>
              <w:rPr>
                <w:rFonts w:eastAsia="宋体"/>
                <w:kern w:val="0"/>
                <w:sz w:val="20"/>
                <w:szCs w:val="20"/>
                <w:lang w:bidi="ar"/>
              </w:rPr>
              <w:t>C11补贴农业动力机械数量</w:t>
            </w:r>
          </w:p>
        </w:tc>
        <w:tc>
          <w:tcPr>
            <w:tcW w:w="730" w:type="pct"/>
            <w:vAlign w:val="center"/>
          </w:tcPr>
          <w:p>
            <w:pPr>
              <w:widowControl/>
              <w:spacing w:line="240" w:lineRule="auto"/>
              <w:ind w:firstLine="0" w:firstLineChars="0"/>
              <w:jc w:val="center"/>
              <w:textAlignment w:val="center"/>
              <w:rPr>
                <w:rFonts w:eastAsia="宋体"/>
                <w:kern w:val="0"/>
                <w:sz w:val="20"/>
                <w:szCs w:val="20"/>
                <w:lang w:bidi="ar"/>
              </w:rPr>
            </w:pPr>
            <w:r>
              <w:rPr>
                <w:rFonts w:hint="eastAsia" w:eastAsia="宋体"/>
                <w:kern w:val="0"/>
                <w:sz w:val="20"/>
                <w:szCs w:val="20"/>
                <w:lang w:eastAsia="zh-CN" w:bidi="ar"/>
              </w:rPr>
              <w:t>≥</w:t>
            </w:r>
            <w:r>
              <w:rPr>
                <w:rFonts w:eastAsia="宋体"/>
                <w:kern w:val="0"/>
                <w:sz w:val="20"/>
                <w:szCs w:val="20"/>
                <w:lang w:bidi="ar"/>
              </w:rPr>
              <w:t>920台</w:t>
            </w:r>
          </w:p>
        </w:tc>
        <w:tc>
          <w:tcPr>
            <w:tcW w:w="522"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920台</w:t>
            </w:r>
          </w:p>
        </w:tc>
        <w:tc>
          <w:tcPr>
            <w:tcW w:w="409"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8.00</w:t>
            </w:r>
          </w:p>
        </w:tc>
        <w:tc>
          <w:tcPr>
            <w:tcW w:w="398"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8.00</w:t>
            </w:r>
          </w:p>
        </w:tc>
        <w:tc>
          <w:tcPr>
            <w:tcW w:w="52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7" w:hRule="atLeast"/>
        </w:trPr>
        <w:tc>
          <w:tcPr>
            <w:tcW w:w="571" w:type="pct"/>
            <w:vMerge w:val="continue"/>
            <w:vAlign w:val="center"/>
          </w:tcPr>
          <w:p>
            <w:pPr>
              <w:widowControl/>
              <w:spacing w:line="240" w:lineRule="auto"/>
              <w:ind w:firstLine="0" w:firstLineChars="0"/>
              <w:jc w:val="left"/>
              <w:rPr>
                <w:rFonts w:eastAsia="宋体"/>
                <w:sz w:val="20"/>
                <w:szCs w:val="20"/>
              </w:rPr>
            </w:pPr>
          </w:p>
        </w:tc>
        <w:tc>
          <w:tcPr>
            <w:tcW w:w="646" w:type="pct"/>
            <w:vMerge w:val="continue"/>
            <w:vAlign w:val="center"/>
          </w:tcPr>
          <w:p>
            <w:pPr>
              <w:widowControl/>
              <w:spacing w:line="240" w:lineRule="auto"/>
              <w:ind w:firstLine="0" w:firstLineChars="0"/>
              <w:jc w:val="left"/>
              <w:textAlignment w:val="center"/>
              <w:rPr>
                <w:rFonts w:eastAsia="宋体"/>
                <w:kern w:val="0"/>
                <w:sz w:val="20"/>
                <w:szCs w:val="20"/>
                <w:lang w:bidi="ar"/>
              </w:rPr>
            </w:pPr>
          </w:p>
        </w:tc>
        <w:tc>
          <w:tcPr>
            <w:tcW w:w="1205" w:type="pct"/>
            <w:vAlign w:val="center"/>
          </w:tcPr>
          <w:p>
            <w:pPr>
              <w:widowControl/>
              <w:spacing w:line="240" w:lineRule="auto"/>
              <w:ind w:firstLine="0" w:firstLineChars="0"/>
              <w:jc w:val="left"/>
              <w:textAlignment w:val="center"/>
              <w:rPr>
                <w:rFonts w:eastAsia="宋体"/>
                <w:kern w:val="0"/>
                <w:sz w:val="20"/>
                <w:szCs w:val="20"/>
                <w:lang w:bidi="ar"/>
              </w:rPr>
            </w:pPr>
            <w:r>
              <w:rPr>
                <w:rFonts w:eastAsia="宋体"/>
                <w:kern w:val="0"/>
                <w:sz w:val="20"/>
                <w:szCs w:val="20"/>
                <w:lang w:bidi="ar"/>
              </w:rPr>
              <w:t>C12补贴配套机具数量</w:t>
            </w:r>
          </w:p>
        </w:tc>
        <w:tc>
          <w:tcPr>
            <w:tcW w:w="730" w:type="pct"/>
            <w:vAlign w:val="center"/>
          </w:tcPr>
          <w:p>
            <w:pPr>
              <w:widowControl/>
              <w:spacing w:line="240" w:lineRule="auto"/>
              <w:ind w:firstLine="0" w:firstLineChars="0"/>
              <w:jc w:val="center"/>
              <w:textAlignment w:val="center"/>
              <w:rPr>
                <w:rFonts w:eastAsia="宋体"/>
                <w:kern w:val="0"/>
                <w:sz w:val="20"/>
                <w:szCs w:val="20"/>
                <w:lang w:bidi="ar"/>
              </w:rPr>
            </w:pPr>
            <w:r>
              <w:rPr>
                <w:rFonts w:hint="eastAsia" w:eastAsia="宋体"/>
                <w:kern w:val="0"/>
                <w:sz w:val="20"/>
                <w:szCs w:val="20"/>
                <w:lang w:eastAsia="zh-CN" w:bidi="ar"/>
              </w:rPr>
              <w:t>≥</w:t>
            </w:r>
            <w:r>
              <w:rPr>
                <w:rFonts w:eastAsia="宋体"/>
                <w:kern w:val="0"/>
                <w:sz w:val="20"/>
                <w:szCs w:val="20"/>
                <w:lang w:bidi="ar"/>
              </w:rPr>
              <w:t>565台</w:t>
            </w:r>
          </w:p>
        </w:tc>
        <w:tc>
          <w:tcPr>
            <w:tcW w:w="522"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565台</w:t>
            </w:r>
          </w:p>
        </w:tc>
        <w:tc>
          <w:tcPr>
            <w:tcW w:w="409"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5.00</w:t>
            </w:r>
          </w:p>
        </w:tc>
        <w:tc>
          <w:tcPr>
            <w:tcW w:w="398"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5.00</w:t>
            </w:r>
          </w:p>
        </w:tc>
        <w:tc>
          <w:tcPr>
            <w:tcW w:w="52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1" w:type="pct"/>
            <w:vMerge w:val="continue"/>
            <w:vAlign w:val="center"/>
          </w:tcPr>
          <w:p>
            <w:pPr>
              <w:widowControl/>
              <w:spacing w:line="240" w:lineRule="auto"/>
              <w:ind w:firstLine="0" w:firstLineChars="0"/>
              <w:jc w:val="left"/>
              <w:rPr>
                <w:rFonts w:eastAsia="宋体"/>
                <w:sz w:val="20"/>
                <w:szCs w:val="20"/>
              </w:rPr>
            </w:pPr>
          </w:p>
        </w:tc>
        <w:tc>
          <w:tcPr>
            <w:tcW w:w="646" w:type="pct"/>
            <w:vMerge w:val="continue"/>
            <w:vAlign w:val="center"/>
          </w:tcPr>
          <w:p>
            <w:pPr>
              <w:widowControl/>
              <w:spacing w:line="240" w:lineRule="auto"/>
              <w:ind w:firstLine="0" w:firstLineChars="0"/>
              <w:jc w:val="left"/>
              <w:textAlignment w:val="center"/>
              <w:rPr>
                <w:rFonts w:eastAsia="宋体"/>
                <w:kern w:val="0"/>
                <w:sz w:val="20"/>
                <w:szCs w:val="20"/>
                <w:lang w:bidi="ar"/>
              </w:rPr>
            </w:pPr>
          </w:p>
        </w:tc>
        <w:tc>
          <w:tcPr>
            <w:tcW w:w="1205" w:type="pct"/>
            <w:vAlign w:val="center"/>
          </w:tcPr>
          <w:p>
            <w:pPr>
              <w:widowControl/>
              <w:spacing w:line="240" w:lineRule="auto"/>
              <w:ind w:firstLine="0" w:firstLineChars="0"/>
              <w:jc w:val="left"/>
              <w:textAlignment w:val="center"/>
              <w:rPr>
                <w:rFonts w:eastAsia="宋体"/>
                <w:kern w:val="0"/>
                <w:sz w:val="20"/>
                <w:szCs w:val="20"/>
                <w:lang w:bidi="ar"/>
              </w:rPr>
            </w:pPr>
            <w:r>
              <w:rPr>
                <w:rFonts w:eastAsia="宋体"/>
                <w:kern w:val="0"/>
                <w:sz w:val="20"/>
                <w:szCs w:val="20"/>
                <w:lang w:bidi="ar"/>
              </w:rPr>
              <w:t>C13补开展农机购置与应用补贴试点数量</w:t>
            </w:r>
          </w:p>
        </w:tc>
        <w:tc>
          <w:tcPr>
            <w:tcW w:w="730" w:type="pct"/>
            <w:vAlign w:val="center"/>
          </w:tcPr>
          <w:p>
            <w:pPr>
              <w:widowControl/>
              <w:spacing w:line="240" w:lineRule="auto"/>
              <w:ind w:firstLine="0" w:firstLineChars="0"/>
              <w:jc w:val="center"/>
              <w:textAlignment w:val="center"/>
              <w:rPr>
                <w:rFonts w:eastAsia="宋体"/>
                <w:kern w:val="0"/>
                <w:sz w:val="20"/>
                <w:szCs w:val="20"/>
                <w:lang w:bidi="ar"/>
              </w:rPr>
            </w:pPr>
            <w:r>
              <w:rPr>
                <w:rFonts w:hint="eastAsia" w:eastAsia="宋体"/>
                <w:kern w:val="0"/>
                <w:sz w:val="20"/>
                <w:szCs w:val="20"/>
                <w:lang w:eastAsia="zh-CN" w:bidi="ar"/>
              </w:rPr>
              <w:t>≥</w:t>
            </w:r>
            <w:r>
              <w:rPr>
                <w:rFonts w:eastAsia="宋体"/>
                <w:kern w:val="0"/>
                <w:sz w:val="20"/>
                <w:szCs w:val="20"/>
                <w:lang w:bidi="ar"/>
              </w:rPr>
              <w:t>1个</w:t>
            </w:r>
          </w:p>
        </w:tc>
        <w:tc>
          <w:tcPr>
            <w:tcW w:w="522"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1个</w:t>
            </w:r>
          </w:p>
        </w:tc>
        <w:tc>
          <w:tcPr>
            <w:tcW w:w="409"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3.00</w:t>
            </w:r>
          </w:p>
        </w:tc>
        <w:tc>
          <w:tcPr>
            <w:tcW w:w="398"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3.00</w:t>
            </w:r>
          </w:p>
        </w:tc>
        <w:tc>
          <w:tcPr>
            <w:tcW w:w="52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5" w:hRule="atLeast"/>
        </w:trPr>
        <w:tc>
          <w:tcPr>
            <w:tcW w:w="571" w:type="pct"/>
            <w:vMerge w:val="continue"/>
            <w:vAlign w:val="center"/>
          </w:tcPr>
          <w:p>
            <w:pPr>
              <w:widowControl/>
              <w:spacing w:line="240" w:lineRule="auto"/>
              <w:ind w:firstLine="0" w:firstLineChars="0"/>
              <w:jc w:val="left"/>
              <w:rPr>
                <w:rFonts w:eastAsia="宋体"/>
                <w:sz w:val="20"/>
                <w:szCs w:val="20"/>
              </w:rPr>
            </w:pPr>
          </w:p>
        </w:tc>
        <w:tc>
          <w:tcPr>
            <w:tcW w:w="646" w:type="pct"/>
            <w:vAlign w:val="center"/>
          </w:tcPr>
          <w:p>
            <w:pPr>
              <w:widowControl/>
              <w:spacing w:line="240" w:lineRule="auto"/>
              <w:ind w:firstLine="0" w:firstLineChars="0"/>
              <w:jc w:val="left"/>
              <w:textAlignment w:val="center"/>
              <w:rPr>
                <w:rFonts w:eastAsia="宋体"/>
                <w:kern w:val="0"/>
                <w:sz w:val="20"/>
                <w:szCs w:val="20"/>
                <w:lang w:bidi="ar"/>
              </w:rPr>
            </w:pPr>
            <w:r>
              <w:rPr>
                <w:rFonts w:eastAsia="宋体"/>
                <w:kern w:val="0"/>
                <w:sz w:val="20"/>
                <w:szCs w:val="20"/>
                <w:lang w:bidi="ar"/>
              </w:rPr>
              <w:t>C2产出质量（3.00分）</w:t>
            </w:r>
          </w:p>
        </w:tc>
        <w:tc>
          <w:tcPr>
            <w:tcW w:w="1205" w:type="pct"/>
            <w:vAlign w:val="center"/>
          </w:tcPr>
          <w:p>
            <w:pPr>
              <w:widowControl/>
              <w:spacing w:line="240" w:lineRule="auto"/>
              <w:ind w:firstLine="0" w:firstLineChars="0"/>
              <w:jc w:val="left"/>
              <w:textAlignment w:val="center"/>
              <w:rPr>
                <w:rFonts w:eastAsia="宋体"/>
                <w:kern w:val="0"/>
                <w:sz w:val="20"/>
                <w:szCs w:val="20"/>
                <w:lang w:bidi="ar"/>
              </w:rPr>
            </w:pPr>
            <w:r>
              <w:rPr>
                <w:rFonts w:eastAsia="宋体"/>
                <w:kern w:val="0"/>
                <w:sz w:val="20"/>
                <w:szCs w:val="20"/>
                <w:lang w:bidi="ar"/>
              </w:rPr>
              <w:t>C21补贴标准达标率</w:t>
            </w:r>
          </w:p>
        </w:tc>
        <w:tc>
          <w:tcPr>
            <w:tcW w:w="73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c>
          <w:tcPr>
            <w:tcW w:w="522"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c>
          <w:tcPr>
            <w:tcW w:w="409"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3.00</w:t>
            </w:r>
          </w:p>
        </w:tc>
        <w:tc>
          <w:tcPr>
            <w:tcW w:w="398"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3.00</w:t>
            </w:r>
          </w:p>
        </w:tc>
        <w:tc>
          <w:tcPr>
            <w:tcW w:w="52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1" w:type="pct"/>
            <w:vMerge w:val="continue"/>
            <w:vAlign w:val="center"/>
          </w:tcPr>
          <w:p>
            <w:pPr>
              <w:widowControl/>
              <w:spacing w:line="240" w:lineRule="auto"/>
              <w:ind w:firstLine="0" w:firstLineChars="0"/>
              <w:jc w:val="left"/>
              <w:rPr>
                <w:rFonts w:eastAsia="宋体"/>
                <w:sz w:val="20"/>
                <w:szCs w:val="20"/>
              </w:rPr>
            </w:pPr>
          </w:p>
        </w:tc>
        <w:tc>
          <w:tcPr>
            <w:tcW w:w="646" w:type="pct"/>
            <w:vMerge w:val="restart"/>
            <w:vAlign w:val="center"/>
          </w:tcPr>
          <w:p>
            <w:pPr>
              <w:widowControl/>
              <w:spacing w:line="240" w:lineRule="auto"/>
              <w:ind w:firstLine="0" w:firstLineChars="0"/>
              <w:jc w:val="left"/>
              <w:textAlignment w:val="center"/>
              <w:rPr>
                <w:rFonts w:eastAsia="宋体"/>
                <w:kern w:val="0"/>
                <w:sz w:val="20"/>
                <w:szCs w:val="20"/>
                <w:lang w:bidi="ar"/>
              </w:rPr>
            </w:pPr>
            <w:r>
              <w:rPr>
                <w:rFonts w:eastAsia="宋体"/>
                <w:kern w:val="0"/>
                <w:sz w:val="20"/>
                <w:szCs w:val="20"/>
                <w:lang w:bidi="ar"/>
              </w:rPr>
              <w:t>C3产出时效（6.00分）</w:t>
            </w:r>
          </w:p>
        </w:tc>
        <w:tc>
          <w:tcPr>
            <w:tcW w:w="1205" w:type="pct"/>
            <w:vAlign w:val="center"/>
          </w:tcPr>
          <w:p>
            <w:pPr>
              <w:widowControl/>
              <w:spacing w:line="240" w:lineRule="auto"/>
              <w:ind w:firstLine="0" w:firstLineChars="0"/>
              <w:jc w:val="left"/>
              <w:textAlignment w:val="center"/>
              <w:rPr>
                <w:rFonts w:eastAsia="宋体"/>
                <w:kern w:val="0"/>
                <w:sz w:val="20"/>
                <w:szCs w:val="20"/>
                <w:lang w:bidi="ar"/>
              </w:rPr>
            </w:pPr>
            <w:r>
              <w:rPr>
                <w:rFonts w:eastAsia="宋体"/>
                <w:kern w:val="0"/>
                <w:sz w:val="20"/>
                <w:szCs w:val="20"/>
                <w:lang w:bidi="ar"/>
              </w:rPr>
              <w:t>C31资金支付及时率</w:t>
            </w:r>
          </w:p>
        </w:tc>
        <w:tc>
          <w:tcPr>
            <w:tcW w:w="73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c>
          <w:tcPr>
            <w:tcW w:w="522"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99.83%</w:t>
            </w:r>
          </w:p>
        </w:tc>
        <w:tc>
          <w:tcPr>
            <w:tcW w:w="409"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3.00</w:t>
            </w:r>
          </w:p>
        </w:tc>
        <w:tc>
          <w:tcPr>
            <w:tcW w:w="398"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2.99</w:t>
            </w:r>
          </w:p>
        </w:tc>
        <w:tc>
          <w:tcPr>
            <w:tcW w:w="52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99.67%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1" w:type="pct"/>
            <w:vMerge w:val="continue"/>
            <w:vAlign w:val="center"/>
          </w:tcPr>
          <w:p>
            <w:pPr>
              <w:widowControl/>
              <w:spacing w:line="240" w:lineRule="auto"/>
              <w:ind w:firstLine="0" w:firstLineChars="0"/>
              <w:jc w:val="left"/>
              <w:rPr>
                <w:rFonts w:eastAsia="宋体"/>
                <w:sz w:val="20"/>
                <w:szCs w:val="20"/>
              </w:rPr>
            </w:pPr>
          </w:p>
        </w:tc>
        <w:tc>
          <w:tcPr>
            <w:tcW w:w="646" w:type="pct"/>
            <w:vMerge w:val="continue"/>
            <w:vAlign w:val="center"/>
          </w:tcPr>
          <w:p>
            <w:pPr>
              <w:widowControl/>
              <w:spacing w:line="240" w:lineRule="auto"/>
              <w:ind w:firstLine="0" w:firstLineChars="0"/>
              <w:jc w:val="left"/>
              <w:textAlignment w:val="center"/>
              <w:rPr>
                <w:rFonts w:eastAsia="宋体"/>
                <w:kern w:val="0"/>
                <w:sz w:val="20"/>
                <w:szCs w:val="20"/>
                <w:lang w:bidi="ar"/>
              </w:rPr>
            </w:pPr>
          </w:p>
        </w:tc>
        <w:tc>
          <w:tcPr>
            <w:tcW w:w="1205" w:type="pct"/>
            <w:vAlign w:val="center"/>
          </w:tcPr>
          <w:p>
            <w:pPr>
              <w:widowControl/>
              <w:spacing w:line="240" w:lineRule="auto"/>
              <w:ind w:firstLine="0" w:firstLineChars="0"/>
              <w:jc w:val="left"/>
              <w:textAlignment w:val="center"/>
              <w:rPr>
                <w:rFonts w:eastAsia="宋体"/>
                <w:kern w:val="0"/>
                <w:sz w:val="20"/>
                <w:szCs w:val="20"/>
                <w:lang w:bidi="ar"/>
              </w:rPr>
            </w:pPr>
            <w:r>
              <w:rPr>
                <w:rFonts w:eastAsia="宋体"/>
                <w:kern w:val="0"/>
                <w:sz w:val="20"/>
                <w:szCs w:val="20"/>
                <w:lang w:bidi="ar"/>
              </w:rPr>
              <w:t>C32项目完成时间</w:t>
            </w:r>
          </w:p>
        </w:tc>
        <w:tc>
          <w:tcPr>
            <w:tcW w:w="73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2022年12月底前</w:t>
            </w:r>
          </w:p>
        </w:tc>
        <w:tc>
          <w:tcPr>
            <w:tcW w:w="522"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2022年12月底前</w:t>
            </w:r>
          </w:p>
        </w:tc>
        <w:tc>
          <w:tcPr>
            <w:tcW w:w="409"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3.00</w:t>
            </w:r>
          </w:p>
        </w:tc>
        <w:tc>
          <w:tcPr>
            <w:tcW w:w="398"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3.00</w:t>
            </w:r>
          </w:p>
        </w:tc>
        <w:tc>
          <w:tcPr>
            <w:tcW w:w="52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1" w:type="pct"/>
            <w:vMerge w:val="continue"/>
            <w:vAlign w:val="center"/>
          </w:tcPr>
          <w:p>
            <w:pPr>
              <w:widowControl/>
              <w:spacing w:line="240" w:lineRule="auto"/>
              <w:ind w:firstLine="0" w:firstLineChars="0"/>
              <w:jc w:val="left"/>
              <w:rPr>
                <w:rFonts w:eastAsia="宋体"/>
                <w:sz w:val="20"/>
                <w:szCs w:val="20"/>
              </w:rPr>
            </w:pPr>
          </w:p>
        </w:tc>
        <w:tc>
          <w:tcPr>
            <w:tcW w:w="646" w:type="pct"/>
            <w:vMerge w:val="restart"/>
            <w:vAlign w:val="center"/>
          </w:tcPr>
          <w:p>
            <w:pPr>
              <w:widowControl/>
              <w:spacing w:line="240" w:lineRule="auto"/>
              <w:ind w:firstLine="0" w:firstLineChars="0"/>
              <w:jc w:val="left"/>
              <w:textAlignment w:val="center"/>
              <w:rPr>
                <w:rFonts w:eastAsia="宋体"/>
                <w:sz w:val="20"/>
                <w:szCs w:val="20"/>
              </w:rPr>
            </w:pPr>
            <w:r>
              <w:rPr>
                <w:rFonts w:eastAsia="宋体"/>
                <w:kern w:val="0"/>
                <w:sz w:val="20"/>
                <w:szCs w:val="20"/>
                <w:lang w:bidi="ar"/>
              </w:rPr>
              <w:t>C4产出成本（10.00分）</w:t>
            </w:r>
          </w:p>
        </w:tc>
        <w:tc>
          <w:tcPr>
            <w:tcW w:w="1205" w:type="pct"/>
            <w:vAlign w:val="center"/>
          </w:tcPr>
          <w:p>
            <w:pPr>
              <w:widowControl/>
              <w:spacing w:line="240" w:lineRule="auto"/>
              <w:ind w:firstLine="0" w:firstLineChars="0"/>
              <w:jc w:val="left"/>
              <w:textAlignment w:val="center"/>
              <w:rPr>
                <w:rFonts w:eastAsia="宋体"/>
                <w:sz w:val="20"/>
                <w:szCs w:val="20"/>
              </w:rPr>
            </w:pPr>
            <w:r>
              <w:rPr>
                <w:rFonts w:eastAsia="宋体"/>
                <w:sz w:val="20"/>
                <w:szCs w:val="20"/>
              </w:rPr>
              <w:t>C41补贴农业机械动力机械费用</w:t>
            </w:r>
          </w:p>
        </w:tc>
        <w:tc>
          <w:tcPr>
            <w:tcW w:w="730" w:type="pct"/>
            <w:vAlign w:val="center"/>
          </w:tcPr>
          <w:p>
            <w:pPr>
              <w:widowControl/>
              <w:spacing w:line="240" w:lineRule="auto"/>
              <w:ind w:firstLine="0" w:firstLineChars="0"/>
              <w:jc w:val="center"/>
              <w:textAlignment w:val="center"/>
              <w:rPr>
                <w:rFonts w:eastAsia="宋体"/>
                <w:kern w:val="0"/>
                <w:sz w:val="20"/>
                <w:szCs w:val="20"/>
                <w:lang w:bidi="ar"/>
              </w:rPr>
            </w:pPr>
            <w:r>
              <w:rPr>
                <w:rFonts w:hint="eastAsia" w:eastAsia="宋体"/>
                <w:kern w:val="0"/>
                <w:sz w:val="20"/>
                <w:szCs w:val="20"/>
                <w:lang w:eastAsia="zh-CN" w:bidi="ar"/>
              </w:rPr>
              <w:t>≤</w:t>
            </w:r>
            <w:r>
              <w:rPr>
                <w:rFonts w:eastAsia="宋体"/>
                <w:kern w:val="0"/>
                <w:sz w:val="20"/>
                <w:szCs w:val="20"/>
                <w:lang w:bidi="ar"/>
              </w:rPr>
              <w:t>5，065.00万元</w:t>
            </w:r>
          </w:p>
        </w:tc>
        <w:tc>
          <w:tcPr>
            <w:tcW w:w="522"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5，056.13万元</w:t>
            </w:r>
          </w:p>
        </w:tc>
        <w:tc>
          <w:tcPr>
            <w:tcW w:w="409"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8.00</w:t>
            </w:r>
          </w:p>
        </w:tc>
        <w:tc>
          <w:tcPr>
            <w:tcW w:w="398"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8.00</w:t>
            </w:r>
          </w:p>
        </w:tc>
        <w:tc>
          <w:tcPr>
            <w:tcW w:w="52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1" w:type="pct"/>
            <w:vMerge w:val="continue"/>
            <w:vAlign w:val="center"/>
          </w:tcPr>
          <w:p>
            <w:pPr>
              <w:widowControl/>
              <w:spacing w:line="240" w:lineRule="auto"/>
              <w:ind w:firstLine="0" w:firstLineChars="0"/>
              <w:jc w:val="left"/>
              <w:rPr>
                <w:rFonts w:eastAsia="宋体"/>
                <w:sz w:val="20"/>
                <w:szCs w:val="20"/>
              </w:rPr>
            </w:pPr>
          </w:p>
        </w:tc>
        <w:tc>
          <w:tcPr>
            <w:tcW w:w="646" w:type="pct"/>
            <w:vMerge w:val="continue"/>
            <w:vAlign w:val="center"/>
          </w:tcPr>
          <w:p>
            <w:pPr>
              <w:widowControl/>
              <w:spacing w:line="240" w:lineRule="auto"/>
              <w:ind w:firstLine="0" w:firstLineChars="0"/>
              <w:jc w:val="left"/>
              <w:textAlignment w:val="center"/>
              <w:rPr>
                <w:rFonts w:eastAsia="宋体"/>
                <w:kern w:val="0"/>
                <w:sz w:val="20"/>
                <w:szCs w:val="20"/>
                <w:lang w:bidi="ar"/>
              </w:rPr>
            </w:pPr>
          </w:p>
        </w:tc>
        <w:tc>
          <w:tcPr>
            <w:tcW w:w="1205" w:type="pct"/>
            <w:vAlign w:val="center"/>
          </w:tcPr>
          <w:p>
            <w:pPr>
              <w:widowControl/>
              <w:spacing w:line="240" w:lineRule="auto"/>
              <w:ind w:firstLine="0" w:firstLineChars="0"/>
              <w:jc w:val="left"/>
              <w:textAlignment w:val="center"/>
              <w:rPr>
                <w:rFonts w:eastAsia="宋体"/>
                <w:kern w:val="0"/>
                <w:sz w:val="20"/>
                <w:szCs w:val="20"/>
                <w:lang w:bidi="ar"/>
              </w:rPr>
            </w:pPr>
            <w:r>
              <w:rPr>
                <w:rFonts w:eastAsia="宋体"/>
                <w:kern w:val="0"/>
                <w:sz w:val="20"/>
                <w:szCs w:val="20"/>
                <w:lang w:bidi="ar"/>
              </w:rPr>
              <w:t>C42补贴配套机具费用</w:t>
            </w:r>
          </w:p>
        </w:tc>
        <w:tc>
          <w:tcPr>
            <w:tcW w:w="730" w:type="pct"/>
            <w:vAlign w:val="center"/>
          </w:tcPr>
          <w:p>
            <w:pPr>
              <w:widowControl/>
              <w:spacing w:line="240" w:lineRule="auto"/>
              <w:ind w:firstLine="0" w:firstLineChars="0"/>
              <w:jc w:val="center"/>
              <w:textAlignment w:val="center"/>
              <w:rPr>
                <w:rFonts w:eastAsia="宋体"/>
                <w:kern w:val="0"/>
                <w:sz w:val="20"/>
                <w:szCs w:val="20"/>
                <w:lang w:bidi="ar"/>
              </w:rPr>
            </w:pPr>
            <w:r>
              <w:rPr>
                <w:rFonts w:hint="eastAsia" w:eastAsia="宋体"/>
                <w:kern w:val="0"/>
                <w:sz w:val="20"/>
                <w:szCs w:val="20"/>
                <w:lang w:eastAsia="zh-CN" w:bidi="ar"/>
              </w:rPr>
              <w:t>≤</w:t>
            </w:r>
            <w:r>
              <w:rPr>
                <w:rFonts w:eastAsia="宋体"/>
                <w:kern w:val="0"/>
                <w:sz w:val="20"/>
                <w:szCs w:val="20"/>
                <w:lang w:bidi="ar"/>
              </w:rPr>
              <w:t>347.00万元</w:t>
            </w:r>
          </w:p>
        </w:tc>
        <w:tc>
          <w:tcPr>
            <w:tcW w:w="522"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346.77万元</w:t>
            </w:r>
          </w:p>
        </w:tc>
        <w:tc>
          <w:tcPr>
            <w:tcW w:w="409"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2.00</w:t>
            </w:r>
          </w:p>
        </w:tc>
        <w:tc>
          <w:tcPr>
            <w:tcW w:w="398"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2.00</w:t>
            </w:r>
          </w:p>
        </w:tc>
        <w:tc>
          <w:tcPr>
            <w:tcW w:w="520" w:type="pct"/>
            <w:vAlign w:val="center"/>
          </w:tcPr>
          <w:p>
            <w:pPr>
              <w:widowControl/>
              <w:spacing w:line="240" w:lineRule="auto"/>
              <w:ind w:firstLine="0" w:firstLineChars="0"/>
              <w:jc w:val="center"/>
              <w:textAlignment w:val="center"/>
              <w:rPr>
                <w:rFonts w:eastAsia="宋体"/>
                <w:kern w:val="0"/>
                <w:sz w:val="20"/>
                <w:szCs w:val="20"/>
                <w:lang w:bidi="ar"/>
              </w:rPr>
            </w:pPr>
            <w:r>
              <w:rPr>
                <w:rFonts w:eastAsia="宋体"/>
                <w:kern w:val="0"/>
                <w:sz w:val="20"/>
                <w:szCs w:val="20"/>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2422" w:type="pct"/>
            <w:gridSpan w:val="3"/>
            <w:vAlign w:val="center"/>
          </w:tcPr>
          <w:p>
            <w:pPr>
              <w:widowControl/>
              <w:spacing w:line="240" w:lineRule="auto"/>
              <w:ind w:firstLine="0" w:firstLineChars="0"/>
              <w:jc w:val="center"/>
              <w:textAlignment w:val="center"/>
              <w:rPr>
                <w:rFonts w:eastAsia="宋体"/>
                <w:b/>
                <w:bCs/>
                <w:kern w:val="0"/>
                <w:sz w:val="20"/>
                <w:szCs w:val="20"/>
                <w:lang w:bidi="ar"/>
              </w:rPr>
            </w:pPr>
            <w:r>
              <w:rPr>
                <w:rFonts w:eastAsia="宋体"/>
                <w:b/>
                <w:bCs/>
                <w:kern w:val="0"/>
                <w:sz w:val="20"/>
                <w:szCs w:val="20"/>
                <w:lang w:bidi="ar"/>
              </w:rPr>
              <w:t>合计</w:t>
            </w:r>
          </w:p>
        </w:tc>
        <w:tc>
          <w:tcPr>
            <w:tcW w:w="730" w:type="pct"/>
            <w:vAlign w:val="center"/>
          </w:tcPr>
          <w:p>
            <w:pPr>
              <w:widowControl/>
              <w:spacing w:line="240" w:lineRule="auto"/>
              <w:ind w:firstLine="0" w:firstLineChars="0"/>
              <w:jc w:val="center"/>
              <w:textAlignment w:val="center"/>
              <w:rPr>
                <w:rFonts w:eastAsia="宋体"/>
                <w:b/>
                <w:bCs/>
                <w:kern w:val="0"/>
                <w:sz w:val="20"/>
                <w:szCs w:val="20"/>
                <w:lang w:bidi="ar"/>
              </w:rPr>
            </w:pPr>
          </w:p>
        </w:tc>
        <w:tc>
          <w:tcPr>
            <w:tcW w:w="522" w:type="pct"/>
            <w:vAlign w:val="center"/>
          </w:tcPr>
          <w:p>
            <w:pPr>
              <w:widowControl/>
              <w:spacing w:line="240" w:lineRule="auto"/>
              <w:ind w:firstLine="0" w:firstLineChars="0"/>
              <w:jc w:val="center"/>
              <w:textAlignment w:val="center"/>
              <w:rPr>
                <w:rFonts w:eastAsia="宋体"/>
                <w:b/>
                <w:bCs/>
                <w:kern w:val="0"/>
                <w:sz w:val="20"/>
                <w:szCs w:val="20"/>
                <w:lang w:bidi="ar"/>
              </w:rPr>
            </w:pPr>
          </w:p>
        </w:tc>
        <w:tc>
          <w:tcPr>
            <w:tcW w:w="409" w:type="pct"/>
            <w:vAlign w:val="center"/>
          </w:tcPr>
          <w:p>
            <w:pPr>
              <w:widowControl/>
              <w:spacing w:line="240" w:lineRule="auto"/>
              <w:ind w:firstLine="0" w:firstLineChars="0"/>
              <w:jc w:val="center"/>
              <w:textAlignment w:val="center"/>
              <w:rPr>
                <w:rFonts w:eastAsia="宋体"/>
                <w:b/>
                <w:bCs/>
                <w:kern w:val="0"/>
                <w:sz w:val="20"/>
                <w:szCs w:val="20"/>
                <w:lang w:bidi="ar"/>
              </w:rPr>
            </w:pPr>
            <w:r>
              <w:rPr>
                <w:rFonts w:eastAsia="宋体"/>
                <w:b/>
                <w:bCs/>
                <w:kern w:val="0"/>
                <w:sz w:val="20"/>
                <w:szCs w:val="20"/>
                <w:lang w:bidi="ar"/>
              </w:rPr>
              <w:t>35.00</w:t>
            </w:r>
          </w:p>
        </w:tc>
        <w:tc>
          <w:tcPr>
            <w:tcW w:w="398" w:type="pct"/>
            <w:vAlign w:val="center"/>
          </w:tcPr>
          <w:p>
            <w:pPr>
              <w:widowControl/>
              <w:spacing w:line="240" w:lineRule="auto"/>
              <w:ind w:firstLine="0" w:firstLineChars="0"/>
              <w:jc w:val="center"/>
              <w:textAlignment w:val="center"/>
              <w:rPr>
                <w:rFonts w:eastAsia="宋体"/>
                <w:b/>
                <w:bCs/>
                <w:kern w:val="0"/>
                <w:sz w:val="20"/>
                <w:szCs w:val="20"/>
                <w:lang w:bidi="ar"/>
              </w:rPr>
            </w:pPr>
            <w:r>
              <w:rPr>
                <w:rFonts w:eastAsia="宋体"/>
                <w:b/>
                <w:bCs/>
                <w:kern w:val="0"/>
                <w:sz w:val="20"/>
                <w:szCs w:val="20"/>
                <w:lang w:bidi="ar"/>
              </w:rPr>
              <w:t>34.99</w:t>
            </w:r>
          </w:p>
        </w:tc>
        <w:tc>
          <w:tcPr>
            <w:tcW w:w="520" w:type="pct"/>
            <w:vAlign w:val="center"/>
          </w:tcPr>
          <w:p>
            <w:pPr>
              <w:widowControl/>
              <w:spacing w:line="240" w:lineRule="auto"/>
              <w:ind w:firstLine="0" w:firstLineChars="0"/>
              <w:jc w:val="center"/>
              <w:textAlignment w:val="center"/>
              <w:rPr>
                <w:rFonts w:eastAsia="宋体"/>
                <w:b/>
                <w:bCs/>
                <w:kern w:val="0"/>
                <w:sz w:val="20"/>
                <w:szCs w:val="20"/>
                <w:lang w:bidi="ar"/>
              </w:rPr>
            </w:pPr>
            <w:r>
              <w:rPr>
                <w:rFonts w:eastAsia="宋体"/>
                <w:b/>
                <w:bCs/>
                <w:kern w:val="0"/>
                <w:sz w:val="20"/>
                <w:szCs w:val="20"/>
                <w:lang w:bidi="ar"/>
              </w:rPr>
              <w:t>99.97%</w:t>
            </w:r>
          </w:p>
        </w:tc>
      </w:tr>
    </w:tbl>
    <w:p>
      <w:pPr>
        <w:ind w:firstLine="422"/>
        <w:rPr>
          <w:rFonts w:eastAsia="宋体"/>
          <w:b/>
          <w:bCs/>
        </w:rPr>
      </w:pPr>
    </w:p>
    <w:p>
      <w:pPr>
        <w:ind w:firstLine="422"/>
      </w:pPr>
      <w:r>
        <w:rPr>
          <w:rFonts w:eastAsia="宋体"/>
          <w:b/>
          <w:bCs/>
        </w:rPr>
        <w:t>指标得分分析</w:t>
      </w:r>
      <w:r>
        <w:rPr>
          <w:b/>
          <w:bCs/>
        </w:rPr>
        <w:t>：</w:t>
      </w:r>
    </w:p>
    <w:p>
      <w:pPr>
        <w:ind w:firstLine="422"/>
        <w:rPr>
          <w:rFonts w:eastAsia="宋体"/>
          <w:b/>
          <w:bCs/>
        </w:rPr>
      </w:pPr>
      <w:r>
        <w:rPr>
          <w:rFonts w:eastAsia="宋体"/>
          <w:b/>
          <w:bCs/>
        </w:rPr>
        <w:t>（1）C11补贴农业动力机械数量指标：</w:t>
      </w:r>
    </w:p>
    <w:p>
      <w:pPr>
        <w:ind w:firstLine="420"/>
      </w:pPr>
      <w:r>
        <w:rPr>
          <w:rFonts w:eastAsia="宋体"/>
        </w:rPr>
        <w:t>经查证《巴楚县各乡镇第一批农机报废补贴资金打卡台账》《巴楚县各乡镇2022年第二批农机报废补贴资金打卡台账》《关于申请拨付巴楚县2022年第二批农机报废补贴资金的报告》《关于申请拨付巴楚县2022年第一</w:t>
      </w:r>
      <w:r>
        <w:t>批农机报废补贴资金的报告》及相关财务凭证可知，该项目计划补贴农业动力机械数量920台，实际补贴农业动力机械数量920台，实际完成率=（实际补贴农业动力机械数量/计划补贴农业动力机械数量）×100.00%=（920/920）×100.00%=100.00%。</w:t>
      </w:r>
    </w:p>
    <w:p>
      <w:pPr>
        <w:ind w:firstLine="420"/>
        <w:rPr>
          <w:rFonts w:eastAsia="宋体"/>
        </w:rPr>
      </w:pPr>
      <w:r>
        <w:t>该指标满分为8.00分，根据评分标准得8.00</w:t>
      </w:r>
      <w:r>
        <w:rPr>
          <w:rFonts w:eastAsia="宋体"/>
        </w:rPr>
        <w:t>分。</w:t>
      </w:r>
    </w:p>
    <w:p>
      <w:pPr>
        <w:ind w:firstLine="422"/>
        <w:rPr>
          <w:rFonts w:eastAsia="宋体"/>
          <w:b/>
          <w:bCs/>
        </w:rPr>
      </w:pPr>
      <w:r>
        <w:rPr>
          <w:rFonts w:eastAsia="宋体"/>
          <w:b/>
          <w:bCs/>
        </w:rPr>
        <w:t>（2）C12补贴配套机具数量指标：</w:t>
      </w:r>
    </w:p>
    <w:p>
      <w:pPr>
        <w:ind w:firstLine="420"/>
      </w:pPr>
      <w:r>
        <w:rPr>
          <w:rFonts w:eastAsia="宋体"/>
        </w:rPr>
        <w:t>经查证《巴楚县各乡镇第一批农机报废补贴资金打卡台账》《巴楚县各乡镇2022年第二批农机报废补贴资金打卡台账》《关于申请拨付巴楚县2022年第二批农机报废补贴资金的报告》《关于申请拨付巴</w:t>
      </w:r>
      <w:r>
        <w:t>楚县2022年第一批农机报废补贴资金的报告》及相关财务凭证可知，该项目计划补贴配套机具数量565台，实际补贴配套机具数量565台，实际完成率=（实际补贴配套机具数量/计划补贴配套机具数量）×100.00%=（565/565）×100.00%=100.00%。</w:t>
      </w:r>
    </w:p>
    <w:p>
      <w:pPr>
        <w:ind w:firstLine="420"/>
        <w:rPr>
          <w:rFonts w:eastAsia="宋体"/>
        </w:rPr>
      </w:pPr>
      <w:r>
        <w:t>该指标满分为5.00分，根据评分标准得5.00分</w:t>
      </w:r>
      <w:r>
        <w:rPr>
          <w:rFonts w:eastAsia="宋体"/>
        </w:rPr>
        <w:t>。</w:t>
      </w:r>
    </w:p>
    <w:p>
      <w:pPr>
        <w:ind w:firstLine="422"/>
        <w:rPr>
          <w:rFonts w:eastAsia="宋体"/>
          <w:b/>
          <w:bCs/>
        </w:rPr>
      </w:pPr>
      <w:r>
        <w:rPr>
          <w:rFonts w:eastAsia="宋体"/>
          <w:b/>
          <w:bCs/>
        </w:rPr>
        <w:t>（3）C13补开展农机购置与应用补贴试点数量指标：</w:t>
      </w:r>
    </w:p>
    <w:p>
      <w:pPr>
        <w:ind w:firstLine="420"/>
      </w:pPr>
      <w:r>
        <w:rPr>
          <w:rFonts w:eastAsia="宋体"/>
        </w:rPr>
        <w:t>经查证《关于印发&lt;巴楚</w:t>
      </w:r>
      <w:r>
        <w:t>县2022年农机购置与应用补贴试点方案&gt;的通知》（巴政办发〔2022〕48号）及相关财务凭证可知，该项目预计开展农机购置与应用补贴试点数量1个，实际开展农机购置与应用补贴试点数量1个，实际完成率=（实际开展农机购置与应用补贴试点数量/计划开展农机购置与应用补贴试点数量）×100.00%=（1/1）×100.00%=100.00%。</w:t>
      </w:r>
    </w:p>
    <w:p>
      <w:pPr>
        <w:ind w:firstLine="420"/>
        <w:rPr>
          <w:rFonts w:eastAsia="宋体"/>
        </w:rPr>
      </w:pPr>
      <w:r>
        <w:t>该指标满分为3.00分，根据评分标准得3.00</w:t>
      </w:r>
      <w:r>
        <w:rPr>
          <w:rFonts w:eastAsia="宋体"/>
        </w:rPr>
        <w:t>分。</w:t>
      </w:r>
    </w:p>
    <w:p>
      <w:pPr>
        <w:ind w:firstLine="422"/>
        <w:rPr>
          <w:rFonts w:eastAsia="宋体"/>
          <w:b/>
          <w:bCs/>
        </w:rPr>
      </w:pPr>
      <w:r>
        <w:rPr>
          <w:rFonts w:eastAsia="宋体"/>
          <w:b/>
          <w:bCs/>
        </w:rPr>
        <w:t>（4）C21补贴标准达标率指标：</w:t>
      </w:r>
    </w:p>
    <w:p>
      <w:pPr>
        <w:ind w:firstLine="420"/>
      </w:pPr>
      <w:r>
        <w:rPr>
          <w:rFonts w:eastAsia="宋体"/>
        </w:rPr>
        <w:t>经查证《巴楚县各乡镇第一批农机报废补贴资金打卡台账》《巴楚县各乡镇2022年第二批农机报废补贴资金打卡台账》、项目实施方案</w:t>
      </w:r>
      <w:r>
        <w:t>及相关财务凭证可知，该项目预计补贴标准达标机具数为1485台，实际补贴标准达标机具数为1485台，</w:t>
      </w:r>
      <w:r>
        <w:rPr>
          <w:rFonts w:hint="eastAsia"/>
        </w:rPr>
        <w:t>补贴标准达标率</w:t>
      </w:r>
      <w:r>
        <w:t>100.00%。</w:t>
      </w:r>
    </w:p>
    <w:p>
      <w:pPr>
        <w:ind w:firstLine="420"/>
        <w:rPr>
          <w:rFonts w:eastAsia="宋体"/>
        </w:rPr>
      </w:pPr>
      <w:r>
        <w:t>该指标满分为3.00分，根据评分标准得3.00</w:t>
      </w:r>
      <w:r>
        <w:rPr>
          <w:rFonts w:eastAsia="宋体"/>
        </w:rPr>
        <w:t>分。</w:t>
      </w:r>
    </w:p>
    <w:p>
      <w:pPr>
        <w:ind w:firstLine="422"/>
        <w:rPr>
          <w:rFonts w:eastAsia="宋体"/>
          <w:b/>
          <w:bCs/>
        </w:rPr>
      </w:pPr>
      <w:r>
        <w:rPr>
          <w:rFonts w:eastAsia="宋体"/>
          <w:b/>
          <w:bCs/>
        </w:rPr>
        <w:t>（5）C31资金支付及时率指标：</w:t>
      </w:r>
    </w:p>
    <w:p>
      <w:pPr>
        <w:ind w:firstLine="420"/>
      </w:pPr>
      <w:r>
        <w:rPr>
          <w:rFonts w:eastAsia="宋体"/>
        </w:rPr>
        <w:t>经查证项目资金打卡台账、资金支付申请</w:t>
      </w:r>
      <w:r>
        <w:t>及相关财务凭证可知，该项目预计于2022年12月前完成5412.00万元补贴资金的发放，实际完成5402.91万元补贴资金的发放，实际完成率=（实际时间内支付金额/计划时间内支付金额）×100.00%=（5402.91/5</w:t>
      </w:r>
      <w:r>
        <w:rPr>
          <w:rFonts w:hint="eastAsia"/>
          <w:lang w:eastAsia="zh-CN"/>
        </w:rPr>
        <w:t>，</w:t>
      </w:r>
      <w:r>
        <w:t>412.00）×100.00%=99.83%，得分=（实际完成率-60%）/（1-60%）×指标分值=（99.83%-60.00%）/（1-60.00%）×3=2.99分。</w:t>
      </w:r>
    </w:p>
    <w:p>
      <w:pPr>
        <w:ind w:firstLine="420"/>
      </w:pPr>
      <w:r>
        <w:t>该指标满分为3.00分，根据评分标准得2.99</w:t>
      </w:r>
      <w:r>
        <w:rPr>
          <w:rFonts w:eastAsia="宋体"/>
        </w:rPr>
        <w:t>分。</w:t>
      </w:r>
    </w:p>
    <w:p>
      <w:pPr>
        <w:ind w:firstLine="422"/>
        <w:rPr>
          <w:rFonts w:eastAsia="宋体"/>
          <w:b/>
          <w:bCs/>
        </w:rPr>
      </w:pPr>
      <w:r>
        <w:rPr>
          <w:rFonts w:eastAsia="宋体"/>
          <w:b/>
          <w:bCs/>
        </w:rPr>
        <w:t>（6）C32项目完成时间指标：</w:t>
      </w:r>
    </w:p>
    <w:p>
      <w:pPr>
        <w:ind w:firstLine="420"/>
      </w:pPr>
      <w:r>
        <w:rPr>
          <w:rFonts w:eastAsia="宋体"/>
        </w:rPr>
        <w:t>经查证《巴楚县农业机械</w:t>
      </w:r>
      <w:r>
        <w:t>报废更新补贴实施方案》《关于印发&lt;巴楚县2022年农机购置与应用补贴试点方案&gt;的通知》（巴政办发〔2022〕48号）及相关财务凭证可知，该项目预计项目完成时间2022年12月底前，实际项目完成时间2022年12月，项目在规定的时间节点内完成。</w:t>
      </w:r>
    </w:p>
    <w:p>
      <w:pPr>
        <w:ind w:firstLine="420"/>
      </w:pPr>
      <w:r>
        <w:t>该指标满分为3.00分，根据评分标准得3.00</w:t>
      </w:r>
      <w:r>
        <w:rPr>
          <w:rFonts w:eastAsia="宋体"/>
        </w:rPr>
        <w:t>分。</w:t>
      </w:r>
    </w:p>
    <w:p>
      <w:pPr>
        <w:ind w:firstLine="422"/>
        <w:rPr>
          <w:rFonts w:eastAsia="宋体"/>
          <w:b/>
          <w:bCs/>
        </w:rPr>
      </w:pPr>
      <w:r>
        <w:rPr>
          <w:rFonts w:eastAsia="宋体"/>
          <w:b/>
          <w:bCs/>
        </w:rPr>
        <w:t>（7）C41补贴农业机械动力机械费用指标：</w:t>
      </w:r>
    </w:p>
    <w:p>
      <w:pPr>
        <w:ind w:firstLine="420"/>
      </w:pPr>
      <w:r>
        <w:rPr>
          <w:rFonts w:eastAsia="宋体"/>
        </w:rPr>
        <w:t>经查证资金下达文件、资金申请报告及相</w:t>
      </w:r>
      <w:r>
        <w:t>关财务凭证可知，该项目预算安排补贴农业机械动力机械费用5065.00万元，实际补贴农业机械动力机械费用5056.13万元，实际完成率=（实际补贴农业机械动力机械费用/计划补贴农业机械动力机械费用）×100.00%=（5056.13/5</w:t>
      </w:r>
      <w:r>
        <w:rPr>
          <w:rFonts w:hint="eastAsia"/>
          <w:lang w:eastAsia="zh-CN"/>
        </w:rPr>
        <w:t>，</w:t>
      </w:r>
      <w:r>
        <w:t>065.00）×100.00%=99.82%。</w:t>
      </w:r>
    </w:p>
    <w:p>
      <w:pPr>
        <w:ind w:firstLine="420"/>
      </w:pPr>
      <w:r>
        <w:t>该指标满分为8.00分，根据评分标准得8.00分</w:t>
      </w:r>
      <w:r>
        <w:rPr>
          <w:rFonts w:eastAsia="宋体"/>
        </w:rPr>
        <w:t>。</w:t>
      </w:r>
    </w:p>
    <w:p>
      <w:pPr>
        <w:ind w:firstLine="422"/>
        <w:rPr>
          <w:rFonts w:eastAsia="宋体"/>
          <w:b/>
          <w:bCs/>
        </w:rPr>
      </w:pPr>
      <w:r>
        <w:rPr>
          <w:rFonts w:eastAsia="宋体"/>
          <w:b/>
          <w:bCs/>
        </w:rPr>
        <w:t>（8）C42补贴配套机具费用指标：</w:t>
      </w:r>
    </w:p>
    <w:p>
      <w:pPr>
        <w:ind w:firstLine="420"/>
      </w:pPr>
      <w:r>
        <w:rPr>
          <w:rFonts w:eastAsia="宋体"/>
        </w:rPr>
        <w:t>经查证资金下达文件、资金</w:t>
      </w:r>
      <w:r>
        <w:t>申请报告及相关财务凭证可知，该项目预算安排补贴配套机具费用347.00万元，实际补贴配套机具费用346.77万元，实际完成率=（实际补贴配套机具费用/计划补贴配套机具费用）×100.00%=（346.77/347.00）×100.00%=99.93%。</w:t>
      </w:r>
    </w:p>
    <w:p>
      <w:pPr>
        <w:ind w:firstLine="420"/>
      </w:pPr>
      <w:r>
        <w:t>该指标满分为2.00分，根据评分标准得2.00分。</w:t>
      </w:r>
    </w:p>
    <w:p>
      <w:pPr>
        <w:pStyle w:val="6"/>
        <w:ind w:firstLine="482"/>
        <w:rPr>
          <w:rFonts w:ascii="Times New Roman" w:hAnsi="Times New Roman"/>
        </w:rPr>
      </w:pPr>
      <w:bookmarkStart w:id="57" w:name="_Toc16283"/>
      <w:r>
        <w:rPr>
          <w:rFonts w:ascii="Times New Roman" w:hAnsi="Times New Roman"/>
        </w:rPr>
        <w:t>（四）项目效益情况</w:t>
      </w:r>
      <w:bookmarkEnd w:id="57"/>
      <w:r>
        <w:rPr>
          <w:rFonts w:ascii="Times New Roman" w:hAnsi="Times New Roman"/>
        </w:rPr>
        <w:t xml:space="preserve"> </w:t>
      </w:r>
    </w:p>
    <w:p>
      <w:pPr>
        <w:ind w:firstLine="420"/>
      </w:pPr>
      <w:r>
        <w:t>项目效益指标由3个二级和3个三级指标构成，权重分值30.00分，实际得分30.00分，得分率为100.00%。各指标业绩值和绩效分值如下表所示：</w:t>
      </w:r>
    </w:p>
    <w:p>
      <w:pPr>
        <w:ind w:firstLine="0" w:firstLineChars="0"/>
        <w:jc w:val="center"/>
      </w:pPr>
      <w:r>
        <w:rPr>
          <w:b/>
          <w:bCs/>
        </w:rPr>
        <w:t>表4-4：项目效益指标及分值</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68"/>
        <w:gridCol w:w="1652"/>
        <w:gridCol w:w="1530"/>
        <w:gridCol w:w="914"/>
        <w:gridCol w:w="918"/>
        <w:gridCol w:w="780"/>
        <w:gridCol w:w="676"/>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4" w:hRule="atLeast"/>
          <w:tblHeader/>
        </w:trPr>
        <w:tc>
          <w:tcPr>
            <w:tcW w:w="575"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一级指标</w:t>
            </w:r>
          </w:p>
        </w:tc>
        <w:tc>
          <w:tcPr>
            <w:tcW w:w="982"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二级指标</w:t>
            </w:r>
          </w:p>
        </w:tc>
        <w:tc>
          <w:tcPr>
            <w:tcW w:w="908"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三级指标</w:t>
            </w:r>
          </w:p>
        </w:tc>
        <w:tc>
          <w:tcPr>
            <w:tcW w:w="544"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目标值</w:t>
            </w:r>
          </w:p>
        </w:tc>
        <w:tc>
          <w:tcPr>
            <w:tcW w:w="546" w:type="pct"/>
            <w:vAlign w:val="center"/>
          </w:tcPr>
          <w:p>
            <w:pPr>
              <w:widowControl/>
              <w:spacing w:line="240" w:lineRule="auto"/>
              <w:ind w:firstLine="0" w:firstLineChars="0"/>
              <w:jc w:val="center"/>
              <w:textAlignment w:val="center"/>
              <w:rPr>
                <w:rFonts w:eastAsia="宋体"/>
                <w:b/>
                <w:kern w:val="0"/>
                <w:sz w:val="20"/>
                <w:szCs w:val="20"/>
                <w:lang w:bidi="ar"/>
              </w:rPr>
            </w:pPr>
            <w:r>
              <w:rPr>
                <w:rFonts w:eastAsia="宋体"/>
                <w:b/>
                <w:kern w:val="0"/>
                <w:sz w:val="20"/>
                <w:szCs w:val="20"/>
                <w:lang w:bidi="ar"/>
              </w:rPr>
              <w:t>实际完成值</w:t>
            </w:r>
          </w:p>
        </w:tc>
        <w:tc>
          <w:tcPr>
            <w:tcW w:w="464"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权重</w:t>
            </w:r>
          </w:p>
        </w:tc>
        <w:tc>
          <w:tcPr>
            <w:tcW w:w="402" w:type="pct"/>
            <w:vAlign w:val="center"/>
          </w:tcPr>
          <w:p>
            <w:pPr>
              <w:widowControl/>
              <w:spacing w:line="240" w:lineRule="auto"/>
              <w:ind w:firstLine="0" w:firstLineChars="0"/>
              <w:jc w:val="center"/>
              <w:textAlignment w:val="center"/>
              <w:rPr>
                <w:rFonts w:eastAsia="宋体"/>
                <w:b/>
                <w:sz w:val="20"/>
                <w:szCs w:val="20"/>
              </w:rPr>
            </w:pPr>
            <w:r>
              <w:rPr>
                <w:rFonts w:eastAsia="宋体"/>
                <w:b/>
                <w:kern w:val="0"/>
                <w:sz w:val="20"/>
                <w:szCs w:val="20"/>
                <w:lang w:bidi="ar"/>
              </w:rPr>
              <w:t>得分</w:t>
            </w:r>
          </w:p>
        </w:tc>
        <w:tc>
          <w:tcPr>
            <w:tcW w:w="575" w:type="pct"/>
            <w:vAlign w:val="center"/>
          </w:tcPr>
          <w:p>
            <w:pPr>
              <w:widowControl/>
              <w:spacing w:line="240" w:lineRule="auto"/>
              <w:ind w:firstLine="0" w:firstLineChars="0"/>
              <w:jc w:val="center"/>
              <w:textAlignment w:val="center"/>
              <w:rPr>
                <w:rFonts w:eastAsia="宋体"/>
                <w:b/>
                <w:kern w:val="0"/>
                <w:sz w:val="20"/>
                <w:szCs w:val="20"/>
                <w:lang w:bidi="ar"/>
              </w:rPr>
            </w:pPr>
            <w:r>
              <w:rPr>
                <w:rFonts w:eastAsia="宋体"/>
                <w:b/>
                <w:kern w:val="0"/>
                <w:sz w:val="20"/>
                <w:szCs w:val="20"/>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575" w:type="pct"/>
            <w:vMerge w:val="restart"/>
            <w:vAlign w:val="center"/>
          </w:tcPr>
          <w:p>
            <w:pPr>
              <w:widowControl/>
              <w:spacing w:line="300" w:lineRule="auto"/>
              <w:ind w:firstLine="0" w:firstLineChars="0"/>
              <w:jc w:val="left"/>
              <w:rPr>
                <w:rFonts w:eastAsia="宋体"/>
                <w:sz w:val="20"/>
                <w:szCs w:val="20"/>
              </w:rPr>
            </w:pPr>
            <w:r>
              <w:rPr>
                <w:rFonts w:eastAsia="宋体"/>
                <w:sz w:val="20"/>
                <w:szCs w:val="20"/>
              </w:rPr>
              <w:t>D效益</w:t>
            </w:r>
          </w:p>
          <w:p>
            <w:pPr>
              <w:widowControl/>
              <w:spacing w:line="300" w:lineRule="auto"/>
              <w:ind w:firstLine="0" w:firstLineChars="0"/>
              <w:jc w:val="left"/>
              <w:rPr>
                <w:rFonts w:eastAsia="宋体"/>
                <w:sz w:val="20"/>
                <w:szCs w:val="20"/>
              </w:rPr>
            </w:pPr>
            <w:r>
              <w:rPr>
                <w:rFonts w:eastAsia="宋体"/>
                <w:sz w:val="20"/>
                <w:szCs w:val="20"/>
              </w:rPr>
              <w:t>（30.00分）</w:t>
            </w:r>
          </w:p>
        </w:tc>
        <w:tc>
          <w:tcPr>
            <w:tcW w:w="982" w:type="pct"/>
            <w:vAlign w:val="center"/>
          </w:tcPr>
          <w:p>
            <w:pPr>
              <w:widowControl/>
              <w:spacing w:line="300" w:lineRule="auto"/>
              <w:ind w:firstLine="0" w:firstLineChars="0"/>
              <w:jc w:val="center"/>
              <w:rPr>
                <w:rFonts w:eastAsia="宋体"/>
                <w:sz w:val="20"/>
                <w:szCs w:val="20"/>
              </w:rPr>
            </w:pPr>
            <w:r>
              <w:rPr>
                <w:rFonts w:eastAsia="宋体"/>
                <w:sz w:val="20"/>
                <w:szCs w:val="20"/>
              </w:rPr>
              <w:t>D1社会效益指标（10.00分）</w:t>
            </w:r>
          </w:p>
        </w:tc>
        <w:tc>
          <w:tcPr>
            <w:tcW w:w="908" w:type="pct"/>
            <w:vAlign w:val="center"/>
          </w:tcPr>
          <w:p>
            <w:pPr>
              <w:widowControl/>
              <w:spacing w:line="300" w:lineRule="auto"/>
              <w:ind w:firstLine="0" w:firstLineChars="0"/>
              <w:jc w:val="center"/>
              <w:rPr>
                <w:rFonts w:eastAsia="宋体"/>
                <w:sz w:val="20"/>
                <w:szCs w:val="20"/>
              </w:rPr>
            </w:pPr>
            <w:r>
              <w:rPr>
                <w:rFonts w:eastAsia="宋体"/>
                <w:sz w:val="20"/>
                <w:szCs w:val="20"/>
              </w:rPr>
              <w:t>D11提高农业机械化生产和社会化服务水平</w:t>
            </w:r>
          </w:p>
        </w:tc>
        <w:tc>
          <w:tcPr>
            <w:tcW w:w="544" w:type="pct"/>
            <w:vAlign w:val="center"/>
          </w:tcPr>
          <w:p>
            <w:pPr>
              <w:widowControl/>
              <w:spacing w:line="300" w:lineRule="auto"/>
              <w:ind w:firstLine="0" w:firstLineChars="0"/>
              <w:jc w:val="center"/>
              <w:rPr>
                <w:rFonts w:eastAsia="宋体"/>
                <w:sz w:val="20"/>
                <w:szCs w:val="20"/>
              </w:rPr>
            </w:pPr>
            <w:r>
              <w:rPr>
                <w:rFonts w:eastAsia="宋体"/>
                <w:sz w:val="20"/>
                <w:szCs w:val="20"/>
              </w:rPr>
              <w:t>有效提高</w:t>
            </w:r>
          </w:p>
        </w:tc>
        <w:tc>
          <w:tcPr>
            <w:tcW w:w="546" w:type="pct"/>
            <w:vAlign w:val="center"/>
          </w:tcPr>
          <w:p>
            <w:pPr>
              <w:widowControl/>
              <w:spacing w:line="300" w:lineRule="auto"/>
              <w:ind w:firstLine="0" w:firstLineChars="0"/>
              <w:jc w:val="center"/>
              <w:rPr>
                <w:rFonts w:eastAsia="宋体"/>
                <w:sz w:val="20"/>
                <w:szCs w:val="20"/>
              </w:rPr>
            </w:pPr>
            <w:r>
              <w:rPr>
                <w:rFonts w:eastAsia="宋体"/>
                <w:sz w:val="20"/>
                <w:szCs w:val="20"/>
              </w:rPr>
              <w:t>基本达成目标</w:t>
            </w:r>
          </w:p>
        </w:tc>
        <w:tc>
          <w:tcPr>
            <w:tcW w:w="464" w:type="pct"/>
            <w:vAlign w:val="center"/>
          </w:tcPr>
          <w:p>
            <w:pPr>
              <w:widowControl/>
              <w:spacing w:line="300" w:lineRule="auto"/>
              <w:ind w:firstLine="0" w:firstLineChars="0"/>
              <w:jc w:val="center"/>
              <w:rPr>
                <w:rFonts w:eastAsia="宋体"/>
                <w:sz w:val="20"/>
                <w:szCs w:val="20"/>
              </w:rPr>
            </w:pPr>
            <w:r>
              <w:rPr>
                <w:rFonts w:eastAsia="宋体"/>
                <w:sz w:val="20"/>
                <w:szCs w:val="20"/>
              </w:rPr>
              <w:t>10.00</w:t>
            </w:r>
          </w:p>
        </w:tc>
        <w:tc>
          <w:tcPr>
            <w:tcW w:w="402" w:type="pct"/>
            <w:vAlign w:val="center"/>
          </w:tcPr>
          <w:p>
            <w:pPr>
              <w:widowControl/>
              <w:spacing w:line="300" w:lineRule="auto"/>
              <w:ind w:firstLine="0" w:firstLineChars="0"/>
              <w:jc w:val="center"/>
              <w:rPr>
                <w:rFonts w:eastAsia="宋体"/>
                <w:sz w:val="20"/>
                <w:szCs w:val="20"/>
              </w:rPr>
            </w:pPr>
            <w:r>
              <w:rPr>
                <w:rFonts w:eastAsia="宋体"/>
                <w:sz w:val="20"/>
                <w:szCs w:val="20"/>
              </w:rPr>
              <w:t>10.00</w:t>
            </w:r>
          </w:p>
        </w:tc>
        <w:tc>
          <w:tcPr>
            <w:tcW w:w="575" w:type="pct"/>
            <w:vAlign w:val="center"/>
          </w:tcPr>
          <w:p>
            <w:pPr>
              <w:widowControl/>
              <w:spacing w:line="300" w:lineRule="auto"/>
              <w:ind w:firstLine="0" w:firstLineChars="0"/>
              <w:jc w:val="center"/>
              <w:rPr>
                <w:rFonts w:eastAsia="宋体"/>
                <w:sz w:val="20"/>
                <w:szCs w:val="20"/>
              </w:rPr>
            </w:pPr>
            <w:r>
              <w:rPr>
                <w:rFonts w:eastAsia="宋体"/>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575" w:type="pct"/>
            <w:vMerge w:val="continue"/>
            <w:vAlign w:val="center"/>
          </w:tcPr>
          <w:p>
            <w:pPr>
              <w:widowControl/>
              <w:spacing w:line="300" w:lineRule="auto"/>
              <w:ind w:firstLine="0" w:firstLineChars="0"/>
              <w:jc w:val="center"/>
              <w:rPr>
                <w:rFonts w:eastAsia="宋体"/>
                <w:sz w:val="20"/>
                <w:szCs w:val="20"/>
              </w:rPr>
            </w:pPr>
          </w:p>
        </w:tc>
        <w:tc>
          <w:tcPr>
            <w:tcW w:w="982" w:type="pct"/>
            <w:vAlign w:val="center"/>
          </w:tcPr>
          <w:p>
            <w:pPr>
              <w:widowControl/>
              <w:spacing w:line="300" w:lineRule="auto"/>
              <w:ind w:firstLine="0" w:firstLineChars="0"/>
              <w:jc w:val="center"/>
              <w:rPr>
                <w:rFonts w:eastAsia="宋体"/>
                <w:sz w:val="20"/>
                <w:szCs w:val="20"/>
              </w:rPr>
            </w:pPr>
            <w:r>
              <w:rPr>
                <w:rFonts w:eastAsia="宋体"/>
                <w:sz w:val="20"/>
                <w:szCs w:val="20"/>
              </w:rPr>
              <w:t>D2可持续影响指标（10.00分）</w:t>
            </w:r>
          </w:p>
        </w:tc>
        <w:tc>
          <w:tcPr>
            <w:tcW w:w="908" w:type="pct"/>
            <w:vAlign w:val="center"/>
          </w:tcPr>
          <w:p>
            <w:pPr>
              <w:widowControl/>
              <w:spacing w:line="300" w:lineRule="auto"/>
              <w:ind w:firstLine="0" w:firstLineChars="0"/>
              <w:jc w:val="center"/>
              <w:rPr>
                <w:rFonts w:eastAsia="宋体"/>
                <w:sz w:val="20"/>
                <w:szCs w:val="20"/>
              </w:rPr>
            </w:pPr>
            <w:r>
              <w:rPr>
                <w:rFonts w:eastAsia="宋体"/>
                <w:sz w:val="20"/>
                <w:szCs w:val="20"/>
              </w:rPr>
              <w:t>D21促进农机科技进步</w:t>
            </w:r>
          </w:p>
        </w:tc>
        <w:tc>
          <w:tcPr>
            <w:tcW w:w="544" w:type="pct"/>
            <w:vAlign w:val="center"/>
          </w:tcPr>
          <w:p>
            <w:pPr>
              <w:widowControl/>
              <w:spacing w:line="300" w:lineRule="auto"/>
              <w:ind w:firstLine="0" w:firstLineChars="0"/>
              <w:jc w:val="center"/>
              <w:rPr>
                <w:rFonts w:eastAsia="宋体"/>
                <w:sz w:val="20"/>
                <w:szCs w:val="20"/>
              </w:rPr>
            </w:pPr>
            <w:r>
              <w:rPr>
                <w:rFonts w:eastAsia="宋体"/>
                <w:sz w:val="20"/>
                <w:szCs w:val="20"/>
              </w:rPr>
              <w:t>持续促进</w:t>
            </w:r>
          </w:p>
        </w:tc>
        <w:tc>
          <w:tcPr>
            <w:tcW w:w="546" w:type="pct"/>
            <w:vAlign w:val="center"/>
          </w:tcPr>
          <w:p>
            <w:pPr>
              <w:widowControl/>
              <w:spacing w:line="300" w:lineRule="auto"/>
              <w:ind w:firstLine="0" w:firstLineChars="0"/>
              <w:jc w:val="center"/>
              <w:rPr>
                <w:rFonts w:eastAsia="宋体"/>
                <w:sz w:val="20"/>
                <w:szCs w:val="20"/>
              </w:rPr>
            </w:pPr>
            <w:r>
              <w:rPr>
                <w:rFonts w:eastAsia="宋体"/>
                <w:sz w:val="20"/>
                <w:szCs w:val="20"/>
              </w:rPr>
              <w:t>基本达成目标</w:t>
            </w:r>
          </w:p>
        </w:tc>
        <w:tc>
          <w:tcPr>
            <w:tcW w:w="464" w:type="pct"/>
            <w:vAlign w:val="center"/>
          </w:tcPr>
          <w:p>
            <w:pPr>
              <w:widowControl/>
              <w:spacing w:line="300" w:lineRule="auto"/>
              <w:ind w:firstLine="0" w:firstLineChars="0"/>
              <w:jc w:val="center"/>
              <w:rPr>
                <w:rFonts w:eastAsia="宋体"/>
                <w:sz w:val="20"/>
                <w:szCs w:val="20"/>
              </w:rPr>
            </w:pPr>
            <w:r>
              <w:rPr>
                <w:rFonts w:eastAsia="宋体"/>
                <w:sz w:val="20"/>
                <w:szCs w:val="20"/>
              </w:rPr>
              <w:t>10.00</w:t>
            </w:r>
          </w:p>
        </w:tc>
        <w:tc>
          <w:tcPr>
            <w:tcW w:w="402" w:type="pct"/>
            <w:vAlign w:val="center"/>
          </w:tcPr>
          <w:p>
            <w:pPr>
              <w:widowControl/>
              <w:spacing w:line="300" w:lineRule="auto"/>
              <w:ind w:firstLine="0" w:firstLineChars="0"/>
              <w:jc w:val="center"/>
              <w:rPr>
                <w:rFonts w:eastAsia="宋体"/>
                <w:sz w:val="20"/>
                <w:szCs w:val="20"/>
              </w:rPr>
            </w:pPr>
            <w:r>
              <w:rPr>
                <w:rFonts w:eastAsia="宋体"/>
                <w:sz w:val="20"/>
                <w:szCs w:val="20"/>
              </w:rPr>
              <w:t>10.00</w:t>
            </w:r>
          </w:p>
        </w:tc>
        <w:tc>
          <w:tcPr>
            <w:tcW w:w="575" w:type="pct"/>
            <w:vAlign w:val="center"/>
          </w:tcPr>
          <w:p>
            <w:pPr>
              <w:widowControl/>
              <w:spacing w:line="300" w:lineRule="auto"/>
              <w:ind w:firstLine="0" w:firstLineChars="0"/>
              <w:jc w:val="center"/>
              <w:rPr>
                <w:rFonts w:eastAsia="宋体"/>
                <w:sz w:val="20"/>
                <w:szCs w:val="20"/>
              </w:rPr>
            </w:pPr>
            <w:r>
              <w:rPr>
                <w:rFonts w:eastAsia="宋体"/>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 w:hRule="atLeast"/>
        </w:trPr>
        <w:tc>
          <w:tcPr>
            <w:tcW w:w="575" w:type="pct"/>
            <w:vMerge w:val="continue"/>
            <w:vAlign w:val="center"/>
          </w:tcPr>
          <w:p>
            <w:pPr>
              <w:widowControl/>
              <w:spacing w:line="300" w:lineRule="auto"/>
              <w:ind w:firstLine="0" w:firstLineChars="0"/>
              <w:jc w:val="center"/>
              <w:rPr>
                <w:rFonts w:eastAsia="宋体"/>
                <w:sz w:val="20"/>
                <w:szCs w:val="20"/>
              </w:rPr>
            </w:pPr>
          </w:p>
        </w:tc>
        <w:tc>
          <w:tcPr>
            <w:tcW w:w="982" w:type="pct"/>
            <w:vAlign w:val="center"/>
          </w:tcPr>
          <w:p>
            <w:pPr>
              <w:widowControl/>
              <w:spacing w:line="300" w:lineRule="auto"/>
              <w:ind w:firstLine="0" w:firstLineChars="0"/>
              <w:jc w:val="center"/>
              <w:rPr>
                <w:rFonts w:eastAsia="宋体"/>
                <w:sz w:val="20"/>
                <w:szCs w:val="20"/>
              </w:rPr>
            </w:pPr>
            <w:r>
              <w:rPr>
                <w:rFonts w:eastAsia="宋体"/>
                <w:sz w:val="20"/>
                <w:szCs w:val="20"/>
              </w:rPr>
              <w:t>D3服务对象满意度指标（10.00分）</w:t>
            </w:r>
          </w:p>
        </w:tc>
        <w:tc>
          <w:tcPr>
            <w:tcW w:w="908" w:type="pct"/>
            <w:vAlign w:val="center"/>
          </w:tcPr>
          <w:p>
            <w:pPr>
              <w:widowControl/>
              <w:spacing w:line="300" w:lineRule="auto"/>
              <w:ind w:firstLine="0" w:firstLineChars="0"/>
              <w:jc w:val="center"/>
              <w:rPr>
                <w:rFonts w:eastAsia="宋体"/>
                <w:sz w:val="20"/>
                <w:szCs w:val="20"/>
              </w:rPr>
            </w:pPr>
            <w:r>
              <w:rPr>
                <w:rFonts w:eastAsia="宋体"/>
                <w:sz w:val="20"/>
                <w:szCs w:val="20"/>
              </w:rPr>
              <w:t>D31受益农户满意度</w:t>
            </w:r>
          </w:p>
        </w:tc>
        <w:tc>
          <w:tcPr>
            <w:tcW w:w="544" w:type="pct"/>
            <w:vAlign w:val="center"/>
          </w:tcPr>
          <w:p>
            <w:pPr>
              <w:widowControl/>
              <w:spacing w:line="300" w:lineRule="auto"/>
              <w:ind w:firstLine="0" w:firstLineChars="0"/>
              <w:jc w:val="center"/>
              <w:rPr>
                <w:rFonts w:eastAsia="宋体"/>
                <w:sz w:val="20"/>
                <w:szCs w:val="20"/>
              </w:rPr>
            </w:pPr>
            <w:r>
              <w:rPr>
                <w:rFonts w:hint="eastAsia" w:eastAsia="宋体"/>
                <w:sz w:val="20"/>
                <w:szCs w:val="20"/>
                <w:lang w:eastAsia="zh-CN"/>
              </w:rPr>
              <w:t>≥</w:t>
            </w:r>
            <w:r>
              <w:rPr>
                <w:rFonts w:eastAsia="宋体"/>
                <w:sz w:val="20"/>
                <w:szCs w:val="20"/>
              </w:rPr>
              <w:t>95.00%</w:t>
            </w:r>
          </w:p>
        </w:tc>
        <w:tc>
          <w:tcPr>
            <w:tcW w:w="546" w:type="pct"/>
            <w:vAlign w:val="center"/>
          </w:tcPr>
          <w:p>
            <w:pPr>
              <w:widowControl/>
              <w:tabs>
                <w:tab w:val="left" w:pos="346"/>
              </w:tabs>
              <w:spacing w:line="300" w:lineRule="auto"/>
              <w:ind w:firstLine="0" w:firstLineChars="0"/>
              <w:jc w:val="center"/>
              <w:rPr>
                <w:rFonts w:eastAsia="宋体"/>
                <w:sz w:val="20"/>
                <w:szCs w:val="20"/>
              </w:rPr>
            </w:pPr>
            <w:r>
              <w:rPr>
                <w:rFonts w:eastAsia="宋体"/>
                <w:sz w:val="20"/>
                <w:szCs w:val="20"/>
              </w:rPr>
              <w:t>96.00%</w:t>
            </w:r>
          </w:p>
        </w:tc>
        <w:tc>
          <w:tcPr>
            <w:tcW w:w="464" w:type="pct"/>
            <w:vAlign w:val="center"/>
          </w:tcPr>
          <w:p>
            <w:pPr>
              <w:widowControl/>
              <w:spacing w:line="300" w:lineRule="auto"/>
              <w:ind w:firstLine="0" w:firstLineChars="0"/>
              <w:jc w:val="center"/>
              <w:rPr>
                <w:rFonts w:eastAsia="宋体"/>
                <w:sz w:val="20"/>
                <w:szCs w:val="20"/>
              </w:rPr>
            </w:pPr>
            <w:r>
              <w:rPr>
                <w:rFonts w:eastAsia="宋体"/>
                <w:sz w:val="20"/>
                <w:szCs w:val="20"/>
              </w:rPr>
              <w:t>10.00</w:t>
            </w:r>
          </w:p>
        </w:tc>
        <w:tc>
          <w:tcPr>
            <w:tcW w:w="402" w:type="pct"/>
            <w:vAlign w:val="center"/>
          </w:tcPr>
          <w:p>
            <w:pPr>
              <w:widowControl/>
              <w:spacing w:line="300" w:lineRule="auto"/>
              <w:ind w:firstLine="0" w:firstLineChars="0"/>
              <w:jc w:val="center"/>
              <w:rPr>
                <w:rFonts w:eastAsia="宋体"/>
                <w:sz w:val="20"/>
                <w:szCs w:val="20"/>
              </w:rPr>
            </w:pPr>
            <w:r>
              <w:rPr>
                <w:rFonts w:eastAsia="宋体"/>
                <w:sz w:val="20"/>
                <w:szCs w:val="20"/>
              </w:rPr>
              <w:t>10.00</w:t>
            </w:r>
          </w:p>
        </w:tc>
        <w:tc>
          <w:tcPr>
            <w:tcW w:w="575" w:type="pct"/>
            <w:vAlign w:val="center"/>
          </w:tcPr>
          <w:p>
            <w:pPr>
              <w:widowControl/>
              <w:spacing w:line="300" w:lineRule="auto"/>
              <w:ind w:firstLine="0" w:firstLineChars="0"/>
              <w:jc w:val="center"/>
              <w:rPr>
                <w:rFonts w:eastAsia="宋体"/>
                <w:sz w:val="20"/>
                <w:szCs w:val="20"/>
              </w:rPr>
            </w:pPr>
            <w:r>
              <w:rPr>
                <w:rFonts w:eastAsia="宋体"/>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2466" w:type="pct"/>
            <w:gridSpan w:val="3"/>
            <w:vAlign w:val="center"/>
          </w:tcPr>
          <w:p>
            <w:pPr>
              <w:widowControl/>
              <w:spacing w:line="300" w:lineRule="auto"/>
              <w:ind w:firstLine="0" w:firstLineChars="0"/>
              <w:jc w:val="center"/>
              <w:rPr>
                <w:rFonts w:eastAsia="宋体"/>
                <w:b/>
                <w:bCs/>
                <w:sz w:val="20"/>
                <w:szCs w:val="20"/>
              </w:rPr>
            </w:pPr>
            <w:r>
              <w:rPr>
                <w:rFonts w:eastAsia="宋体"/>
                <w:b/>
                <w:bCs/>
                <w:sz w:val="20"/>
                <w:szCs w:val="20"/>
              </w:rPr>
              <w:t>合计</w:t>
            </w:r>
          </w:p>
        </w:tc>
        <w:tc>
          <w:tcPr>
            <w:tcW w:w="544" w:type="pct"/>
            <w:vAlign w:val="center"/>
          </w:tcPr>
          <w:p>
            <w:pPr>
              <w:widowControl/>
              <w:spacing w:line="300" w:lineRule="auto"/>
              <w:ind w:firstLine="0" w:firstLineChars="0"/>
              <w:jc w:val="center"/>
              <w:rPr>
                <w:rFonts w:eastAsia="宋体"/>
                <w:b/>
                <w:bCs/>
                <w:sz w:val="20"/>
                <w:szCs w:val="20"/>
              </w:rPr>
            </w:pPr>
          </w:p>
        </w:tc>
        <w:tc>
          <w:tcPr>
            <w:tcW w:w="546" w:type="pct"/>
            <w:vAlign w:val="center"/>
          </w:tcPr>
          <w:p>
            <w:pPr>
              <w:widowControl/>
              <w:spacing w:line="300" w:lineRule="auto"/>
              <w:ind w:firstLine="0" w:firstLineChars="0"/>
              <w:jc w:val="center"/>
              <w:rPr>
                <w:rFonts w:eastAsia="宋体"/>
                <w:b/>
                <w:bCs/>
                <w:sz w:val="20"/>
                <w:szCs w:val="20"/>
              </w:rPr>
            </w:pPr>
          </w:p>
        </w:tc>
        <w:tc>
          <w:tcPr>
            <w:tcW w:w="464" w:type="pct"/>
            <w:vAlign w:val="center"/>
          </w:tcPr>
          <w:p>
            <w:pPr>
              <w:widowControl/>
              <w:spacing w:line="300" w:lineRule="auto"/>
              <w:ind w:firstLine="0" w:firstLineChars="0"/>
              <w:jc w:val="center"/>
              <w:rPr>
                <w:rFonts w:eastAsia="宋体"/>
                <w:b/>
                <w:bCs/>
                <w:sz w:val="20"/>
                <w:szCs w:val="20"/>
              </w:rPr>
            </w:pPr>
            <w:r>
              <w:rPr>
                <w:rFonts w:eastAsia="宋体"/>
                <w:b/>
                <w:bCs/>
                <w:sz w:val="20"/>
                <w:szCs w:val="20"/>
              </w:rPr>
              <w:t>30.00</w:t>
            </w:r>
          </w:p>
        </w:tc>
        <w:tc>
          <w:tcPr>
            <w:tcW w:w="402" w:type="pct"/>
            <w:vAlign w:val="center"/>
          </w:tcPr>
          <w:p>
            <w:pPr>
              <w:widowControl/>
              <w:spacing w:line="300" w:lineRule="auto"/>
              <w:ind w:firstLine="0" w:firstLineChars="0"/>
              <w:jc w:val="center"/>
              <w:rPr>
                <w:rFonts w:eastAsia="宋体"/>
                <w:b/>
                <w:bCs/>
                <w:sz w:val="20"/>
                <w:szCs w:val="20"/>
              </w:rPr>
            </w:pPr>
            <w:r>
              <w:rPr>
                <w:rFonts w:eastAsia="宋体"/>
                <w:b/>
                <w:bCs/>
                <w:sz w:val="20"/>
                <w:szCs w:val="20"/>
              </w:rPr>
              <w:t>30.00</w:t>
            </w:r>
          </w:p>
        </w:tc>
        <w:tc>
          <w:tcPr>
            <w:tcW w:w="575" w:type="pct"/>
            <w:vAlign w:val="center"/>
          </w:tcPr>
          <w:p>
            <w:pPr>
              <w:widowControl/>
              <w:spacing w:line="300" w:lineRule="auto"/>
              <w:ind w:firstLine="0" w:firstLineChars="0"/>
              <w:jc w:val="center"/>
              <w:rPr>
                <w:rFonts w:eastAsia="宋体"/>
                <w:b/>
                <w:bCs/>
                <w:sz w:val="20"/>
                <w:szCs w:val="20"/>
              </w:rPr>
            </w:pPr>
            <w:r>
              <w:rPr>
                <w:rFonts w:eastAsia="宋体"/>
                <w:b/>
                <w:bCs/>
                <w:sz w:val="20"/>
                <w:szCs w:val="20"/>
              </w:rPr>
              <w:t>100.00%</w:t>
            </w:r>
          </w:p>
        </w:tc>
      </w:tr>
    </w:tbl>
    <w:p>
      <w:pPr>
        <w:ind w:firstLine="422"/>
      </w:pPr>
      <w:r>
        <w:rPr>
          <w:rFonts w:eastAsia="宋体"/>
          <w:b/>
          <w:bCs/>
        </w:rPr>
        <w:t>指标得分分析</w:t>
      </w:r>
      <w:r>
        <w:rPr>
          <w:b/>
          <w:bCs/>
        </w:rPr>
        <w:t>：</w:t>
      </w:r>
    </w:p>
    <w:p>
      <w:pPr>
        <w:widowControl/>
        <w:ind w:firstLine="422"/>
        <w:jc w:val="left"/>
        <w:rPr>
          <w:rFonts w:eastAsia="宋体"/>
          <w:b/>
          <w:bCs/>
        </w:rPr>
      </w:pPr>
      <w:r>
        <w:rPr>
          <w:rFonts w:eastAsia="宋体"/>
          <w:b/>
          <w:bCs/>
        </w:rPr>
        <w:t>（1）D11提高农业机械化生产和社会化服务水平指标：</w:t>
      </w:r>
    </w:p>
    <w:p>
      <w:pPr>
        <w:ind w:firstLine="420"/>
        <w:rPr>
          <w:rFonts w:eastAsia="宋体"/>
        </w:rPr>
      </w:pPr>
      <w:r>
        <w:rPr>
          <w:rFonts w:eastAsia="宋体"/>
        </w:rPr>
        <w:t>该效益指标主要采用公众评判法，通过问卷及抽样调查等方式评价提高农业机械化生产和社会化服务水平指标实现程度。该项目共发放问卷</w:t>
      </w:r>
      <w:r>
        <w:rPr>
          <w:rFonts w:hint="eastAsia" w:eastAsia="宋体"/>
        </w:rPr>
        <w:t>130</w:t>
      </w:r>
      <w:r>
        <w:rPr>
          <w:rFonts w:eastAsia="宋体"/>
        </w:rPr>
        <w:t>份，回收</w:t>
      </w:r>
      <w:r>
        <w:rPr>
          <w:rFonts w:hint="eastAsia" w:eastAsia="宋体"/>
        </w:rPr>
        <w:t>130</w:t>
      </w:r>
      <w:r>
        <w:rPr>
          <w:rFonts w:eastAsia="宋体"/>
        </w:rPr>
        <w:t>份，其中根据《关于巴楚县农业农村机械化发展中心2022年农业机械购置补贴项目居民满意度调查问卷》问题：</w:t>
      </w:r>
      <w:r>
        <w:rPr>
          <w:rFonts w:hint="eastAsia" w:eastAsia="宋体"/>
          <w:lang w:eastAsia="zh-CN"/>
        </w:rPr>
        <w:t>“</w:t>
      </w:r>
      <w:r>
        <w:rPr>
          <w:rFonts w:eastAsia="宋体"/>
        </w:rPr>
        <w:t>您认为该项目的实施是否提高了农业机械化生产社会化服务水平？</w:t>
      </w:r>
      <w:r>
        <w:rPr>
          <w:rFonts w:hint="eastAsia" w:eastAsia="宋体"/>
          <w:lang w:eastAsia="zh-CN"/>
        </w:rPr>
        <w:t>”</w:t>
      </w:r>
      <w:r>
        <w:rPr>
          <w:rFonts w:eastAsia="宋体"/>
        </w:rPr>
        <w:t>的统计结果显示，共有94人选择</w:t>
      </w:r>
      <w:r>
        <w:rPr>
          <w:rFonts w:hint="eastAsia" w:eastAsia="宋体"/>
          <w:lang w:eastAsia="zh-CN"/>
        </w:rPr>
        <w:t>“</w:t>
      </w:r>
      <w:r>
        <w:rPr>
          <w:rFonts w:eastAsia="宋体"/>
        </w:rPr>
        <w:t>有效提高</w:t>
      </w:r>
      <w:r>
        <w:rPr>
          <w:rFonts w:hint="eastAsia" w:eastAsia="宋体"/>
          <w:lang w:eastAsia="zh-CN"/>
        </w:rPr>
        <w:t>”</w:t>
      </w:r>
      <w:r>
        <w:rPr>
          <w:rFonts w:eastAsia="宋体"/>
        </w:rPr>
        <w:t>，有24人选择</w:t>
      </w:r>
      <w:r>
        <w:rPr>
          <w:rFonts w:hint="eastAsia" w:eastAsia="宋体"/>
          <w:lang w:eastAsia="zh-CN"/>
        </w:rPr>
        <w:t>“</w:t>
      </w:r>
      <w:r>
        <w:rPr>
          <w:rFonts w:eastAsia="宋体"/>
        </w:rPr>
        <w:t>有所提高</w:t>
      </w:r>
      <w:r>
        <w:rPr>
          <w:rFonts w:hint="eastAsia" w:eastAsia="宋体"/>
          <w:lang w:eastAsia="zh-CN"/>
        </w:rPr>
        <w:t>”</w:t>
      </w:r>
      <w:r>
        <w:rPr>
          <w:rFonts w:eastAsia="宋体"/>
        </w:rPr>
        <w:t>，有6人选择</w:t>
      </w:r>
      <w:r>
        <w:rPr>
          <w:rFonts w:hint="eastAsia" w:eastAsia="宋体"/>
          <w:lang w:eastAsia="zh-CN"/>
        </w:rPr>
        <w:t>“</w:t>
      </w:r>
      <w:r>
        <w:rPr>
          <w:rFonts w:eastAsia="宋体"/>
        </w:rPr>
        <w:t>一般</w:t>
      </w:r>
      <w:r>
        <w:rPr>
          <w:rFonts w:hint="eastAsia" w:eastAsia="宋体"/>
          <w:lang w:eastAsia="zh-CN"/>
        </w:rPr>
        <w:t>”</w:t>
      </w:r>
      <w:r>
        <w:rPr>
          <w:rFonts w:eastAsia="宋体"/>
        </w:rPr>
        <w:t>，有2人选择</w:t>
      </w:r>
      <w:r>
        <w:rPr>
          <w:rFonts w:hint="eastAsia" w:eastAsia="宋体"/>
          <w:lang w:eastAsia="zh-CN"/>
        </w:rPr>
        <w:t>“</w:t>
      </w:r>
      <w:r>
        <w:rPr>
          <w:rFonts w:eastAsia="宋体"/>
        </w:rPr>
        <w:t>提高效果较小</w:t>
      </w:r>
      <w:r>
        <w:rPr>
          <w:rFonts w:hint="eastAsia" w:eastAsia="宋体"/>
          <w:lang w:eastAsia="zh-CN"/>
        </w:rPr>
        <w:t>”</w:t>
      </w:r>
      <w:r>
        <w:rPr>
          <w:rFonts w:eastAsia="宋体"/>
        </w:rPr>
        <w:t>，有3人选择</w:t>
      </w:r>
      <w:r>
        <w:rPr>
          <w:rFonts w:hint="eastAsia" w:eastAsia="宋体"/>
          <w:lang w:eastAsia="zh-CN"/>
        </w:rPr>
        <w:t>“</w:t>
      </w:r>
      <w:r>
        <w:rPr>
          <w:rFonts w:eastAsia="宋体"/>
        </w:rPr>
        <w:t>无效果</w:t>
      </w:r>
      <w:r>
        <w:rPr>
          <w:rFonts w:hint="eastAsia" w:eastAsia="宋体"/>
          <w:lang w:eastAsia="zh-CN"/>
        </w:rPr>
        <w:t>”</w:t>
      </w:r>
      <w:r>
        <w:rPr>
          <w:rFonts w:eastAsia="宋体"/>
        </w:rPr>
        <w:t>，指标完成率=（</w:t>
      </w:r>
      <w:r>
        <w:rPr>
          <w:rFonts w:hint="eastAsia" w:eastAsia="宋体"/>
          <w:lang w:eastAsia="zh-CN"/>
        </w:rPr>
        <w:t>“</w:t>
      </w:r>
      <w:r>
        <w:rPr>
          <w:rFonts w:eastAsia="宋体"/>
        </w:rPr>
        <w:t>有效提高</w:t>
      </w:r>
      <w:r>
        <w:rPr>
          <w:rFonts w:hint="eastAsia" w:eastAsia="宋体"/>
          <w:lang w:eastAsia="zh-CN"/>
        </w:rPr>
        <w:t>”</w:t>
      </w:r>
      <w:r>
        <w:rPr>
          <w:rFonts w:eastAsia="宋体"/>
        </w:rPr>
        <w:t>×1.0+</w:t>
      </w:r>
      <w:r>
        <w:rPr>
          <w:rFonts w:hint="eastAsia" w:eastAsia="宋体"/>
          <w:lang w:eastAsia="zh-CN"/>
        </w:rPr>
        <w:t>“</w:t>
      </w:r>
      <w:r>
        <w:rPr>
          <w:rFonts w:eastAsia="宋体"/>
        </w:rPr>
        <w:t>有所提高</w:t>
      </w:r>
      <w:r>
        <w:rPr>
          <w:rFonts w:hint="eastAsia" w:eastAsia="宋体"/>
          <w:lang w:eastAsia="zh-CN"/>
        </w:rPr>
        <w:t>”</w:t>
      </w:r>
      <w:r>
        <w:rPr>
          <w:rFonts w:eastAsia="宋体"/>
        </w:rPr>
        <w:t>×0.8+</w:t>
      </w:r>
      <w:r>
        <w:rPr>
          <w:rFonts w:hint="eastAsia" w:eastAsia="宋体"/>
          <w:lang w:eastAsia="zh-CN"/>
        </w:rPr>
        <w:t>“</w:t>
      </w:r>
      <w:r>
        <w:rPr>
          <w:rFonts w:eastAsia="宋体"/>
        </w:rPr>
        <w:t>一般</w:t>
      </w:r>
      <w:r>
        <w:rPr>
          <w:rFonts w:hint="eastAsia" w:eastAsia="宋体"/>
          <w:lang w:eastAsia="zh-CN"/>
        </w:rPr>
        <w:t>”</w:t>
      </w:r>
      <w:r>
        <w:rPr>
          <w:rFonts w:eastAsia="宋体"/>
        </w:rPr>
        <w:t>×0.6+</w:t>
      </w:r>
      <w:r>
        <w:rPr>
          <w:rFonts w:hint="eastAsia" w:eastAsia="宋体"/>
          <w:lang w:eastAsia="zh-CN"/>
        </w:rPr>
        <w:t>“</w:t>
      </w:r>
      <w:r>
        <w:rPr>
          <w:rFonts w:eastAsia="宋体"/>
        </w:rPr>
        <w:t>提高效果较小</w:t>
      </w:r>
      <w:r>
        <w:rPr>
          <w:rFonts w:hint="eastAsia" w:eastAsia="宋体"/>
          <w:lang w:eastAsia="zh-CN"/>
        </w:rPr>
        <w:t>”</w:t>
      </w:r>
      <w:r>
        <w:rPr>
          <w:rFonts w:eastAsia="宋体"/>
        </w:rPr>
        <w:t>×0.3+</w:t>
      </w:r>
      <w:r>
        <w:rPr>
          <w:rFonts w:hint="eastAsia" w:eastAsia="宋体"/>
          <w:lang w:eastAsia="zh-CN"/>
        </w:rPr>
        <w:t>“</w:t>
      </w:r>
      <w:r>
        <w:rPr>
          <w:rFonts w:eastAsia="宋体"/>
        </w:rPr>
        <w:t>无效果</w:t>
      </w:r>
      <w:r>
        <w:rPr>
          <w:rFonts w:hint="eastAsia" w:eastAsia="宋体"/>
          <w:lang w:eastAsia="zh-CN"/>
        </w:rPr>
        <w:t>”</w:t>
      </w:r>
      <w:r>
        <w:rPr>
          <w:rFonts w:eastAsia="宋体"/>
        </w:rPr>
        <w:t>×0.3）/总样本数×100.00%=（94×1+24×0.8+6×0.6+2×0.3）/130）×100.00%=91.01%，达到预期目标。</w:t>
      </w:r>
    </w:p>
    <w:p>
      <w:pPr>
        <w:ind w:firstLine="0" w:firstLineChars="0"/>
        <w:rPr>
          <w:rFonts w:eastAsia="宋体"/>
        </w:rPr>
      </w:pPr>
      <w:r>
        <w:rPr>
          <w:rFonts w:eastAsia="宋体"/>
        </w:rPr>
        <w:t>该指标满分为10.00分，根据评分标准得10.00分。</w:t>
      </w:r>
    </w:p>
    <w:p>
      <w:pPr>
        <w:widowControl/>
        <w:ind w:firstLine="422"/>
        <w:jc w:val="left"/>
        <w:rPr>
          <w:rFonts w:eastAsia="宋体"/>
          <w:b/>
          <w:bCs/>
        </w:rPr>
      </w:pPr>
      <w:r>
        <w:rPr>
          <w:rFonts w:eastAsia="宋体"/>
          <w:b/>
          <w:bCs/>
        </w:rPr>
        <w:t>（2）D21促进农机科技进步指标：</w:t>
      </w:r>
    </w:p>
    <w:p>
      <w:pPr>
        <w:ind w:firstLine="420"/>
        <w:rPr>
          <w:rFonts w:eastAsia="宋体"/>
        </w:rPr>
      </w:pPr>
      <w:r>
        <w:rPr>
          <w:rFonts w:eastAsia="宋体"/>
        </w:rPr>
        <w:t>该效益指标主要采用公众评判法，通过问卷及抽样调查等方式评价促进农机科技进步指标实现程度。该项目共发放问卷</w:t>
      </w:r>
      <w:r>
        <w:rPr>
          <w:rFonts w:hint="eastAsia" w:eastAsia="宋体"/>
        </w:rPr>
        <w:t>130</w:t>
      </w:r>
      <w:r>
        <w:rPr>
          <w:rFonts w:eastAsia="宋体"/>
        </w:rPr>
        <w:t>份，回收</w:t>
      </w:r>
      <w:r>
        <w:rPr>
          <w:rFonts w:hint="eastAsia" w:eastAsia="宋体"/>
        </w:rPr>
        <w:t>130</w:t>
      </w:r>
      <w:r>
        <w:rPr>
          <w:rFonts w:eastAsia="宋体"/>
        </w:rPr>
        <w:t>份，其中根据《关于巴楚县农业农村机械化发展中心2022年农业机械购置补贴项目居民满意度调查问卷》问题：</w:t>
      </w:r>
      <w:r>
        <w:rPr>
          <w:rFonts w:hint="eastAsia" w:eastAsia="宋体"/>
          <w:lang w:eastAsia="zh-CN"/>
        </w:rPr>
        <w:t>“</w:t>
      </w:r>
      <w:r>
        <w:rPr>
          <w:rFonts w:eastAsia="宋体"/>
        </w:rPr>
        <w:t>您认为该项目的实施是否促进了农机科技进步？</w:t>
      </w:r>
      <w:r>
        <w:rPr>
          <w:rFonts w:hint="eastAsia" w:eastAsia="宋体"/>
          <w:lang w:eastAsia="zh-CN"/>
        </w:rPr>
        <w:t>”</w:t>
      </w:r>
      <w:r>
        <w:rPr>
          <w:rFonts w:eastAsia="宋体"/>
        </w:rPr>
        <w:t>的统计结果显示，共有95人选择</w:t>
      </w:r>
      <w:r>
        <w:rPr>
          <w:rFonts w:hint="eastAsia" w:eastAsia="宋体"/>
          <w:lang w:eastAsia="zh-CN"/>
        </w:rPr>
        <w:t>“</w:t>
      </w:r>
      <w:r>
        <w:rPr>
          <w:rFonts w:eastAsia="宋体"/>
        </w:rPr>
        <w:t>有效促进</w:t>
      </w:r>
      <w:r>
        <w:rPr>
          <w:rFonts w:hint="eastAsia" w:eastAsia="宋体"/>
          <w:lang w:eastAsia="zh-CN"/>
        </w:rPr>
        <w:t>”</w:t>
      </w:r>
      <w:r>
        <w:rPr>
          <w:rFonts w:eastAsia="宋体"/>
        </w:rPr>
        <w:t>，有23人选择</w:t>
      </w:r>
      <w:r>
        <w:rPr>
          <w:rFonts w:hint="eastAsia" w:eastAsia="宋体"/>
          <w:lang w:eastAsia="zh-CN"/>
        </w:rPr>
        <w:t>“</w:t>
      </w:r>
      <w:r>
        <w:rPr>
          <w:rFonts w:eastAsia="宋体"/>
        </w:rPr>
        <w:t>有所促进</w:t>
      </w:r>
      <w:r>
        <w:rPr>
          <w:rFonts w:hint="eastAsia" w:eastAsia="宋体"/>
          <w:lang w:eastAsia="zh-CN"/>
        </w:rPr>
        <w:t>”</w:t>
      </w:r>
      <w:r>
        <w:rPr>
          <w:rFonts w:eastAsia="宋体"/>
        </w:rPr>
        <w:t>，有7人选择</w:t>
      </w:r>
      <w:r>
        <w:rPr>
          <w:rFonts w:hint="eastAsia" w:eastAsia="宋体"/>
          <w:lang w:eastAsia="zh-CN"/>
        </w:rPr>
        <w:t>“</w:t>
      </w:r>
      <w:r>
        <w:rPr>
          <w:rFonts w:eastAsia="宋体"/>
        </w:rPr>
        <w:t>一般</w:t>
      </w:r>
      <w:r>
        <w:rPr>
          <w:rFonts w:hint="eastAsia" w:eastAsia="宋体"/>
          <w:lang w:eastAsia="zh-CN"/>
        </w:rPr>
        <w:t>”</w:t>
      </w:r>
      <w:r>
        <w:rPr>
          <w:rFonts w:eastAsia="宋体"/>
        </w:rPr>
        <w:t>，有2人选择</w:t>
      </w:r>
      <w:r>
        <w:rPr>
          <w:rFonts w:hint="eastAsia" w:eastAsia="宋体"/>
          <w:lang w:eastAsia="zh-CN"/>
        </w:rPr>
        <w:t>“</w:t>
      </w:r>
      <w:r>
        <w:rPr>
          <w:rFonts w:eastAsia="宋体"/>
        </w:rPr>
        <w:t>促进效果较小</w:t>
      </w:r>
      <w:r>
        <w:rPr>
          <w:rFonts w:hint="eastAsia" w:eastAsia="宋体"/>
          <w:lang w:eastAsia="zh-CN"/>
        </w:rPr>
        <w:t>”</w:t>
      </w:r>
      <w:r>
        <w:rPr>
          <w:rFonts w:eastAsia="宋体"/>
        </w:rPr>
        <w:t>，有3人选择</w:t>
      </w:r>
      <w:r>
        <w:rPr>
          <w:rFonts w:hint="eastAsia" w:eastAsia="宋体"/>
          <w:lang w:eastAsia="zh-CN"/>
        </w:rPr>
        <w:t>“</w:t>
      </w:r>
      <w:r>
        <w:rPr>
          <w:rFonts w:eastAsia="宋体"/>
        </w:rPr>
        <w:t>无效果</w:t>
      </w:r>
      <w:r>
        <w:rPr>
          <w:rFonts w:hint="eastAsia" w:eastAsia="宋体"/>
          <w:lang w:eastAsia="zh-CN"/>
        </w:rPr>
        <w:t>”</w:t>
      </w:r>
      <w:r>
        <w:rPr>
          <w:rFonts w:eastAsia="宋体"/>
        </w:rPr>
        <w:t>，指标完成率=（</w:t>
      </w:r>
      <w:r>
        <w:rPr>
          <w:rFonts w:hint="eastAsia" w:eastAsia="宋体"/>
          <w:lang w:eastAsia="zh-CN"/>
        </w:rPr>
        <w:t>“</w:t>
      </w:r>
      <w:r>
        <w:rPr>
          <w:rFonts w:eastAsia="宋体"/>
        </w:rPr>
        <w:t>有效促进</w:t>
      </w:r>
      <w:r>
        <w:rPr>
          <w:rFonts w:hint="eastAsia" w:eastAsia="宋体"/>
          <w:lang w:eastAsia="zh-CN"/>
        </w:rPr>
        <w:t>”</w:t>
      </w:r>
      <w:r>
        <w:rPr>
          <w:rFonts w:eastAsia="宋体"/>
        </w:rPr>
        <w:t>×1.0+</w:t>
      </w:r>
      <w:r>
        <w:rPr>
          <w:rFonts w:hint="eastAsia" w:eastAsia="宋体"/>
          <w:lang w:eastAsia="zh-CN"/>
        </w:rPr>
        <w:t>“</w:t>
      </w:r>
      <w:r>
        <w:rPr>
          <w:rFonts w:eastAsia="宋体"/>
        </w:rPr>
        <w:t>有所促进</w:t>
      </w:r>
      <w:r>
        <w:rPr>
          <w:rFonts w:hint="eastAsia" w:eastAsia="宋体"/>
          <w:lang w:eastAsia="zh-CN"/>
        </w:rPr>
        <w:t>”</w:t>
      </w:r>
      <w:r>
        <w:rPr>
          <w:rFonts w:eastAsia="宋体"/>
        </w:rPr>
        <w:t>×0.8+</w:t>
      </w:r>
      <w:r>
        <w:rPr>
          <w:rFonts w:hint="eastAsia" w:eastAsia="宋体"/>
          <w:lang w:eastAsia="zh-CN"/>
        </w:rPr>
        <w:t>“</w:t>
      </w:r>
      <w:r>
        <w:rPr>
          <w:rFonts w:eastAsia="宋体"/>
        </w:rPr>
        <w:t>一般</w:t>
      </w:r>
      <w:r>
        <w:rPr>
          <w:rFonts w:hint="eastAsia" w:eastAsia="宋体"/>
          <w:lang w:eastAsia="zh-CN"/>
        </w:rPr>
        <w:t>”</w:t>
      </w:r>
      <w:r>
        <w:rPr>
          <w:rFonts w:eastAsia="宋体"/>
        </w:rPr>
        <w:t>×0.6+</w:t>
      </w:r>
      <w:r>
        <w:rPr>
          <w:rFonts w:hint="eastAsia" w:eastAsia="宋体"/>
          <w:lang w:eastAsia="zh-CN"/>
        </w:rPr>
        <w:t>“</w:t>
      </w:r>
      <w:r>
        <w:rPr>
          <w:rFonts w:eastAsia="宋体"/>
        </w:rPr>
        <w:t>促进效果较小</w:t>
      </w:r>
      <w:r>
        <w:rPr>
          <w:rFonts w:hint="eastAsia" w:eastAsia="宋体"/>
          <w:lang w:eastAsia="zh-CN"/>
        </w:rPr>
        <w:t>”</w:t>
      </w:r>
      <w:r>
        <w:rPr>
          <w:rFonts w:eastAsia="宋体"/>
        </w:rPr>
        <w:t>×0.3+</w:t>
      </w:r>
      <w:r>
        <w:rPr>
          <w:rFonts w:hint="eastAsia" w:eastAsia="宋体"/>
          <w:lang w:eastAsia="zh-CN"/>
        </w:rPr>
        <w:t>“</w:t>
      </w:r>
      <w:r>
        <w:rPr>
          <w:rFonts w:eastAsia="宋体"/>
        </w:rPr>
        <w:t>无效果</w:t>
      </w:r>
      <w:r>
        <w:rPr>
          <w:rFonts w:hint="eastAsia" w:eastAsia="宋体"/>
          <w:lang w:eastAsia="zh-CN"/>
        </w:rPr>
        <w:t>”</w:t>
      </w:r>
      <w:r>
        <w:rPr>
          <w:rFonts w:eastAsia="宋体"/>
        </w:rPr>
        <w:t>×0）/总样本数×100.00%=（95×1+23×0.8+7×0.6+2×0.3）/130）×100%=90.92%，达到预期目标。</w:t>
      </w:r>
    </w:p>
    <w:p>
      <w:pPr>
        <w:pStyle w:val="2"/>
        <w:ind w:firstLine="420"/>
        <w:rPr>
          <w:rFonts w:ascii="Times New Roman" w:hAnsi="Times New Roman" w:eastAsia="宋体"/>
          <w:b w:val="0"/>
          <w:bCs w:val="0"/>
          <w:kern w:val="2"/>
          <w:szCs w:val="21"/>
        </w:rPr>
      </w:pPr>
      <w:r>
        <w:rPr>
          <w:rFonts w:ascii="Times New Roman" w:hAnsi="Times New Roman" w:eastAsia="宋体"/>
          <w:b w:val="0"/>
          <w:bCs w:val="0"/>
          <w:kern w:val="2"/>
          <w:szCs w:val="21"/>
        </w:rPr>
        <w:t>该指标满分为10.00分，根据评分标准得10.00分。</w:t>
      </w:r>
    </w:p>
    <w:p>
      <w:pPr>
        <w:widowControl/>
        <w:ind w:firstLine="422"/>
        <w:jc w:val="left"/>
        <w:rPr>
          <w:rFonts w:eastAsia="宋体"/>
          <w:b/>
          <w:bCs/>
        </w:rPr>
      </w:pPr>
      <w:r>
        <w:rPr>
          <w:rFonts w:eastAsia="宋体"/>
          <w:b/>
          <w:bCs/>
        </w:rPr>
        <w:t>（3）D31受益农户满意度指标：</w:t>
      </w:r>
    </w:p>
    <w:p>
      <w:pPr>
        <w:ind w:firstLine="420"/>
        <w:rPr>
          <w:rFonts w:eastAsia="宋体"/>
        </w:rPr>
      </w:pPr>
      <w:r>
        <w:rPr>
          <w:rFonts w:eastAsia="宋体"/>
        </w:rPr>
        <w:t>该效益指标主要采用公众评判法，通过问卷及抽样调查等方式评价受益农户满意度指标实现程度。该项目共发放问卷</w:t>
      </w:r>
      <w:r>
        <w:rPr>
          <w:rFonts w:hint="eastAsia" w:eastAsia="宋体"/>
        </w:rPr>
        <w:t>130</w:t>
      </w:r>
      <w:r>
        <w:rPr>
          <w:rFonts w:eastAsia="宋体"/>
        </w:rPr>
        <w:t>份，回收</w:t>
      </w:r>
      <w:r>
        <w:rPr>
          <w:rFonts w:hint="eastAsia" w:eastAsia="宋体"/>
        </w:rPr>
        <w:t>130</w:t>
      </w:r>
      <w:r>
        <w:rPr>
          <w:rFonts w:eastAsia="宋体"/>
        </w:rPr>
        <w:t>份，其中根据《关于巴楚县农业农村机械化发展中心2022年农业机械购置补贴项目居民满意度调查问卷》问题：</w:t>
      </w:r>
      <w:r>
        <w:rPr>
          <w:rFonts w:hint="eastAsia" w:eastAsia="宋体"/>
          <w:lang w:eastAsia="zh-CN"/>
        </w:rPr>
        <w:t>“</w:t>
      </w:r>
      <w:r>
        <w:rPr>
          <w:rFonts w:eastAsia="宋体"/>
        </w:rPr>
        <w:t>您对本项目的实施过程及效果是否满意？</w:t>
      </w:r>
      <w:r>
        <w:rPr>
          <w:rFonts w:hint="eastAsia" w:eastAsia="宋体"/>
          <w:lang w:eastAsia="zh-CN"/>
        </w:rPr>
        <w:t>”</w:t>
      </w:r>
      <w:r>
        <w:rPr>
          <w:rFonts w:eastAsia="宋体"/>
        </w:rPr>
        <w:t>的统计结果显示，共有115人选择</w:t>
      </w:r>
      <w:r>
        <w:rPr>
          <w:rFonts w:hint="eastAsia" w:eastAsia="宋体"/>
          <w:lang w:eastAsia="zh-CN"/>
        </w:rPr>
        <w:t>“</w:t>
      </w:r>
      <w:r>
        <w:rPr>
          <w:rFonts w:eastAsia="宋体"/>
        </w:rPr>
        <w:t>非常满意</w:t>
      </w:r>
      <w:r>
        <w:rPr>
          <w:rFonts w:hint="eastAsia" w:eastAsia="宋体"/>
          <w:lang w:eastAsia="zh-CN"/>
        </w:rPr>
        <w:t>”</w:t>
      </w:r>
      <w:r>
        <w:rPr>
          <w:rFonts w:eastAsia="宋体"/>
        </w:rPr>
        <w:t>，有10人选择</w:t>
      </w:r>
      <w:r>
        <w:rPr>
          <w:rFonts w:hint="eastAsia" w:eastAsia="宋体"/>
          <w:lang w:eastAsia="zh-CN"/>
        </w:rPr>
        <w:t>“</w:t>
      </w:r>
      <w:r>
        <w:rPr>
          <w:rFonts w:eastAsia="宋体"/>
        </w:rPr>
        <w:t>比较满意</w:t>
      </w:r>
      <w:r>
        <w:rPr>
          <w:rFonts w:hint="eastAsia" w:eastAsia="宋体"/>
          <w:lang w:eastAsia="zh-CN"/>
        </w:rPr>
        <w:t>”</w:t>
      </w:r>
      <w:r>
        <w:rPr>
          <w:rFonts w:eastAsia="宋体"/>
        </w:rPr>
        <w:t>，有2人选择</w:t>
      </w:r>
      <w:r>
        <w:rPr>
          <w:rFonts w:hint="eastAsia" w:eastAsia="宋体"/>
          <w:lang w:eastAsia="zh-CN"/>
        </w:rPr>
        <w:t>“</w:t>
      </w:r>
      <w:r>
        <w:rPr>
          <w:rFonts w:eastAsia="宋体"/>
        </w:rPr>
        <w:t>一般</w:t>
      </w:r>
      <w:r>
        <w:rPr>
          <w:rFonts w:hint="eastAsia" w:eastAsia="宋体"/>
          <w:lang w:eastAsia="zh-CN"/>
        </w:rPr>
        <w:t>”</w:t>
      </w:r>
      <w:r>
        <w:rPr>
          <w:rFonts w:eastAsia="宋体"/>
        </w:rPr>
        <w:t>，有2人选择</w:t>
      </w:r>
      <w:r>
        <w:rPr>
          <w:rFonts w:hint="eastAsia" w:eastAsia="宋体"/>
          <w:lang w:eastAsia="zh-CN"/>
        </w:rPr>
        <w:t>“</w:t>
      </w:r>
      <w:r>
        <w:rPr>
          <w:rFonts w:eastAsia="宋体"/>
        </w:rPr>
        <w:t>较不满意</w:t>
      </w:r>
      <w:r>
        <w:rPr>
          <w:rFonts w:hint="eastAsia" w:eastAsia="宋体"/>
          <w:lang w:eastAsia="zh-CN"/>
        </w:rPr>
        <w:t>”</w:t>
      </w:r>
      <w:r>
        <w:rPr>
          <w:rFonts w:eastAsia="宋体"/>
        </w:rPr>
        <w:t>，有1人选择</w:t>
      </w:r>
      <w:r>
        <w:rPr>
          <w:rFonts w:hint="eastAsia" w:eastAsia="宋体"/>
          <w:lang w:eastAsia="zh-CN"/>
        </w:rPr>
        <w:t>“</w:t>
      </w:r>
      <w:r>
        <w:rPr>
          <w:rFonts w:eastAsia="宋体"/>
        </w:rPr>
        <w:t>不满意</w:t>
      </w:r>
      <w:r>
        <w:rPr>
          <w:rFonts w:hint="eastAsia" w:eastAsia="宋体"/>
          <w:lang w:eastAsia="zh-CN"/>
        </w:rPr>
        <w:t>”</w:t>
      </w:r>
      <w:r>
        <w:rPr>
          <w:rFonts w:eastAsia="宋体"/>
        </w:rPr>
        <w:t>，指标完成率=（</w:t>
      </w:r>
      <w:r>
        <w:rPr>
          <w:rFonts w:hint="eastAsia" w:eastAsia="宋体"/>
          <w:lang w:eastAsia="zh-CN"/>
        </w:rPr>
        <w:t>“</w:t>
      </w:r>
      <w:r>
        <w:rPr>
          <w:rFonts w:eastAsia="宋体"/>
        </w:rPr>
        <w:t>非常满意</w:t>
      </w:r>
      <w:r>
        <w:rPr>
          <w:rFonts w:hint="eastAsia" w:eastAsia="宋体"/>
          <w:lang w:eastAsia="zh-CN"/>
        </w:rPr>
        <w:t>”</w:t>
      </w:r>
      <w:r>
        <w:rPr>
          <w:rFonts w:eastAsia="宋体"/>
        </w:rPr>
        <w:t>×1.0+</w:t>
      </w:r>
      <w:r>
        <w:rPr>
          <w:rFonts w:hint="eastAsia" w:eastAsia="宋体"/>
          <w:lang w:eastAsia="zh-CN"/>
        </w:rPr>
        <w:t>“</w:t>
      </w:r>
      <w:r>
        <w:rPr>
          <w:rFonts w:eastAsia="宋体"/>
        </w:rPr>
        <w:t>比较满意</w:t>
      </w:r>
      <w:r>
        <w:rPr>
          <w:rFonts w:hint="eastAsia" w:eastAsia="宋体"/>
          <w:lang w:eastAsia="zh-CN"/>
        </w:rPr>
        <w:t>”</w:t>
      </w:r>
      <w:r>
        <w:rPr>
          <w:rFonts w:eastAsia="宋体"/>
        </w:rPr>
        <w:t>×0.8+</w:t>
      </w:r>
      <w:r>
        <w:rPr>
          <w:rFonts w:hint="eastAsia" w:eastAsia="宋体"/>
          <w:lang w:eastAsia="zh-CN"/>
        </w:rPr>
        <w:t>“</w:t>
      </w:r>
      <w:r>
        <w:rPr>
          <w:rFonts w:eastAsia="宋体"/>
        </w:rPr>
        <w:t>一般</w:t>
      </w:r>
      <w:r>
        <w:rPr>
          <w:rFonts w:hint="eastAsia" w:eastAsia="宋体"/>
          <w:lang w:eastAsia="zh-CN"/>
        </w:rPr>
        <w:t>”</w:t>
      </w:r>
      <w:r>
        <w:rPr>
          <w:rFonts w:eastAsia="宋体"/>
        </w:rPr>
        <w:t>×0.6+</w:t>
      </w:r>
      <w:r>
        <w:rPr>
          <w:rFonts w:hint="eastAsia" w:eastAsia="宋体"/>
          <w:lang w:eastAsia="zh-CN"/>
        </w:rPr>
        <w:t>“</w:t>
      </w:r>
      <w:r>
        <w:rPr>
          <w:rFonts w:eastAsia="宋体"/>
        </w:rPr>
        <w:t>较不满意</w:t>
      </w:r>
      <w:r>
        <w:rPr>
          <w:rFonts w:hint="eastAsia" w:eastAsia="宋体"/>
          <w:lang w:eastAsia="zh-CN"/>
        </w:rPr>
        <w:t>”</w:t>
      </w:r>
      <w:r>
        <w:rPr>
          <w:rFonts w:eastAsia="宋体"/>
        </w:rPr>
        <w:t>×0.3+</w:t>
      </w:r>
      <w:r>
        <w:rPr>
          <w:rFonts w:hint="eastAsia" w:eastAsia="宋体"/>
          <w:lang w:eastAsia="zh-CN"/>
        </w:rPr>
        <w:t>“</w:t>
      </w:r>
      <w:r>
        <w:rPr>
          <w:rFonts w:eastAsia="宋体"/>
        </w:rPr>
        <w:t>不满意</w:t>
      </w:r>
      <w:r>
        <w:rPr>
          <w:rFonts w:hint="eastAsia" w:eastAsia="宋体"/>
          <w:lang w:eastAsia="zh-CN"/>
        </w:rPr>
        <w:t>”</w:t>
      </w:r>
      <w:r>
        <w:rPr>
          <w:rFonts w:eastAsia="宋体"/>
        </w:rPr>
        <w:t>×0）/总样本数×100.00%=（115×1+10×0.8+2×0.6+2×0.3）/130）×100.00%=96.00%，达到预期目标。</w:t>
      </w:r>
    </w:p>
    <w:p>
      <w:pPr>
        <w:pStyle w:val="3"/>
      </w:pPr>
      <w:r>
        <w:rPr>
          <w:rFonts w:eastAsia="宋体"/>
        </w:rPr>
        <w:t>该指标满分为10.00分，根据评分标准得10.00分。</w:t>
      </w:r>
    </w:p>
    <w:p>
      <w:pPr>
        <w:pStyle w:val="5"/>
        <w:spacing w:line="360" w:lineRule="auto"/>
        <w:ind w:firstLine="482"/>
        <w:rPr>
          <w:rFonts w:ascii="Times New Roman" w:hAnsi="Times New Roman"/>
        </w:rPr>
      </w:pPr>
      <w:bookmarkStart w:id="58" w:name="_Toc30458"/>
      <w:bookmarkStart w:id="59" w:name="_Toc7192"/>
      <w:r>
        <w:rPr>
          <w:rFonts w:ascii="Times New Roman" w:hAnsi="Times New Roman"/>
        </w:rPr>
        <w:t>五、主要经验及做法、存在的问题及原因分析</w:t>
      </w:r>
      <w:bookmarkEnd w:id="58"/>
      <w:bookmarkEnd w:id="59"/>
    </w:p>
    <w:p>
      <w:pPr>
        <w:pStyle w:val="6"/>
        <w:ind w:firstLine="482"/>
        <w:rPr>
          <w:rFonts w:ascii="Times New Roman" w:hAnsi="Times New Roman"/>
        </w:rPr>
      </w:pPr>
      <w:bookmarkStart w:id="60" w:name="_Toc14922"/>
      <w:bookmarkStart w:id="61" w:name="_Toc14662"/>
      <w:bookmarkStart w:id="62" w:name="_Toc16974"/>
      <w:bookmarkStart w:id="63" w:name="_Toc15518"/>
      <w:r>
        <w:rPr>
          <w:rFonts w:ascii="Times New Roman" w:hAnsi="Times New Roman"/>
        </w:rPr>
        <w:t>（一）主要经验及做法</w:t>
      </w:r>
      <w:bookmarkEnd w:id="60"/>
      <w:bookmarkEnd w:id="61"/>
      <w:bookmarkEnd w:id="62"/>
      <w:bookmarkEnd w:id="63"/>
    </w:p>
    <w:p>
      <w:pPr>
        <w:ind w:firstLine="420"/>
      </w:pPr>
      <w:r>
        <w:t>巴楚县农业农村机械化发展中心高度重视2022年农业机械购置补贴项目，编制了《巴楚县农业机械报废更新补贴实施方案》，明确了补贴工作领导小组、补贴种类、报废条件和补贴标准等内容，并严格按照相关文件要求和补助资金分配标准，对申请补助的机械进行信息录入、资料审核、机具核验、系统公示等程序，并在乡村两级进行公示，公示期满无异议后及时申请补助资金，最大限度提高资金使用效益，为规范有序实施项目提供了保障。</w:t>
      </w:r>
    </w:p>
    <w:p>
      <w:pPr>
        <w:pStyle w:val="6"/>
        <w:ind w:firstLine="482"/>
        <w:rPr>
          <w:rFonts w:ascii="Times New Roman" w:hAnsi="Times New Roman"/>
        </w:rPr>
      </w:pPr>
      <w:bookmarkStart w:id="64" w:name="_Toc11754"/>
      <w:bookmarkStart w:id="65" w:name="_Toc370"/>
      <w:bookmarkStart w:id="66" w:name="_Toc13318"/>
      <w:bookmarkStart w:id="67" w:name="_Toc4015"/>
      <w:r>
        <w:rPr>
          <w:rFonts w:ascii="Times New Roman" w:hAnsi="Times New Roman"/>
        </w:rPr>
        <w:t>（二）存在的问题</w:t>
      </w:r>
      <w:bookmarkEnd w:id="64"/>
      <w:bookmarkEnd w:id="65"/>
      <w:bookmarkEnd w:id="66"/>
      <w:bookmarkEnd w:id="67"/>
    </w:p>
    <w:p>
      <w:pPr>
        <w:ind w:firstLine="406"/>
        <w:rPr>
          <w:b/>
          <w:bCs/>
          <w:spacing w:val="-4"/>
          <w:szCs w:val="32"/>
        </w:rPr>
      </w:pPr>
      <w:r>
        <w:rPr>
          <w:b/>
          <w:bCs/>
          <w:spacing w:val="-4"/>
          <w:szCs w:val="32"/>
        </w:rPr>
        <w:t>1.绩效目标及绩效指标设置缺乏合理性</w:t>
      </w:r>
    </w:p>
    <w:p>
      <w:pPr>
        <w:ind w:firstLine="404"/>
      </w:pPr>
      <w:r>
        <w:rPr>
          <w:spacing w:val="-4"/>
          <w:szCs w:val="32"/>
        </w:rPr>
        <w:t>经查看巴楚县农业农村机械化发展中心的《专项预算项目支出绩效目标申报表》及《中央转移支付区域（项目）绩效目标自评表》，其</w:t>
      </w:r>
      <w:r>
        <w:rPr>
          <w:rFonts w:eastAsia="宋体"/>
        </w:rPr>
        <w:t>数量指标</w:t>
      </w:r>
      <w:r>
        <w:rPr>
          <w:rFonts w:hint="eastAsia" w:eastAsia="宋体"/>
          <w:lang w:eastAsia="zh-CN"/>
        </w:rPr>
        <w:t>“</w:t>
      </w:r>
      <w:r>
        <w:rPr>
          <w:rFonts w:eastAsia="宋体"/>
        </w:rPr>
        <w:t>农机购置补贴机具总数</w:t>
      </w:r>
      <w:r>
        <w:rPr>
          <w:rFonts w:hint="eastAsia" w:eastAsia="宋体"/>
          <w:lang w:eastAsia="zh-CN"/>
        </w:rPr>
        <w:t>”“</w:t>
      </w:r>
      <w:r>
        <w:rPr>
          <w:rFonts w:eastAsia="宋体"/>
        </w:rPr>
        <w:t>补贴农业机械动力机械数量</w:t>
      </w:r>
      <w:r>
        <w:rPr>
          <w:rFonts w:hint="eastAsia" w:eastAsia="宋体"/>
          <w:lang w:eastAsia="zh-CN"/>
        </w:rPr>
        <w:t>”“</w:t>
      </w:r>
      <w:r>
        <w:rPr>
          <w:rFonts w:eastAsia="宋体"/>
        </w:rPr>
        <w:t>补贴配套机具数量</w:t>
      </w:r>
      <w:r>
        <w:rPr>
          <w:rFonts w:hint="eastAsia" w:eastAsia="宋体"/>
          <w:lang w:eastAsia="zh-CN"/>
        </w:rPr>
        <w:t>”</w:t>
      </w:r>
      <w:r>
        <w:rPr>
          <w:rFonts w:eastAsia="宋体"/>
        </w:rPr>
        <w:t>与实际完成值的偏差分别为9.34%、16.75%和33.53%，均存在一定偏差，绩效指标的设置缺乏可实现性</w:t>
      </w:r>
      <w:r>
        <w:t>。</w:t>
      </w:r>
    </w:p>
    <w:p>
      <w:pPr>
        <w:ind w:firstLine="406"/>
        <w:rPr>
          <w:b/>
          <w:bCs/>
          <w:spacing w:val="-4"/>
          <w:szCs w:val="32"/>
        </w:rPr>
      </w:pPr>
      <w:r>
        <w:rPr>
          <w:b/>
          <w:bCs/>
          <w:spacing w:val="-4"/>
          <w:szCs w:val="32"/>
        </w:rPr>
        <w:t>2.项目管理制度执行不到位，资料管理制度不够完善</w:t>
      </w:r>
    </w:p>
    <w:p>
      <w:pPr>
        <w:ind w:firstLine="420"/>
      </w:pPr>
      <w:r>
        <w:t>在调研项目过程留痕资料时，存在项目实施归档资料留存不完整的情况，资料保管较为散乱等现象，项目资料管理责任人不明确，缺失后期的资料归档管理制度；项目单位提供资料没有反映出是否积极组织农户机具投档，组织农机补贴政策宣传、补贴机具选定过程是否公平合理，项目实施过程控制不到位。</w:t>
      </w:r>
    </w:p>
    <w:p>
      <w:pPr>
        <w:pStyle w:val="5"/>
        <w:spacing w:line="360" w:lineRule="auto"/>
        <w:ind w:firstLine="482"/>
        <w:rPr>
          <w:rFonts w:ascii="Times New Roman" w:hAnsi="Times New Roman"/>
        </w:rPr>
      </w:pPr>
      <w:bookmarkStart w:id="68" w:name="_Toc13947"/>
      <w:bookmarkStart w:id="69" w:name="_Toc15177"/>
      <w:bookmarkStart w:id="70" w:name="_Toc8112"/>
      <w:bookmarkStart w:id="71" w:name="_Toc27862"/>
      <w:r>
        <w:rPr>
          <w:rFonts w:ascii="Times New Roman" w:hAnsi="Times New Roman"/>
        </w:rPr>
        <w:t>六、有关建议</w:t>
      </w:r>
      <w:bookmarkEnd w:id="68"/>
      <w:bookmarkEnd w:id="69"/>
      <w:bookmarkEnd w:id="70"/>
      <w:bookmarkEnd w:id="71"/>
    </w:p>
    <w:p>
      <w:pPr>
        <w:ind w:firstLine="406"/>
        <w:rPr>
          <w:b/>
          <w:bCs/>
          <w:spacing w:val="-4"/>
          <w:szCs w:val="32"/>
        </w:rPr>
      </w:pPr>
      <w:r>
        <w:rPr>
          <w:rFonts w:hint="eastAsia"/>
          <w:b/>
          <w:bCs/>
          <w:spacing w:val="-4"/>
          <w:szCs w:val="32"/>
        </w:rPr>
        <w:t>1.</w:t>
      </w:r>
      <w:r>
        <w:rPr>
          <w:b/>
          <w:bCs/>
          <w:spacing w:val="-4"/>
          <w:szCs w:val="32"/>
        </w:rPr>
        <w:t>加强项目绩效目标申报工作管理，确保绩效目标编报的准确性</w:t>
      </w:r>
    </w:p>
    <w:p>
      <w:pPr>
        <w:ind w:firstLine="420"/>
      </w:pPr>
      <w:r>
        <w:t>建议项目单位在进行项目绩效目标申报时，严格按照《关于印发&lt;中央部门项目支出核心绩效目标和指标设置及取值指引（试行）&gt;的通知》（财</w:t>
      </w:r>
      <w:r>
        <w:rPr>
          <w:szCs w:val="22"/>
        </w:rPr>
        <w:t>预〔2021〕101号）和《自治区项目支出绩效目标设置指引》文件要求，归纳总体绩效目标，明确完成的工作任</w:t>
      </w:r>
      <w:r>
        <w:t>务，科学合理地设置绩效指标，根据项目实际执行情况及时对项目绩效目标表进行调整，确保项目绩效目标与实施内容中相关的实施具体数据一致</w:t>
      </w:r>
      <w:r>
        <w:rPr>
          <w:rFonts w:eastAsia="宋体"/>
          <w:szCs w:val="22"/>
        </w:rPr>
        <w:t>。</w:t>
      </w:r>
    </w:p>
    <w:p>
      <w:pPr>
        <w:ind w:firstLine="406"/>
        <w:rPr>
          <w:b/>
          <w:bCs/>
          <w:spacing w:val="-4"/>
          <w:szCs w:val="32"/>
        </w:rPr>
      </w:pPr>
      <w:r>
        <w:rPr>
          <w:rFonts w:hint="eastAsia"/>
          <w:b/>
          <w:bCs/>
          <w:spacing w:val="-4"/>
          <w:szCs w:val="32"/>
        </w:rPr>
        <w:t>2.</w:t>
      </w:r>
      <w:r>
        <w:rPr>
          <w:b/>
          <w:bCs/>
          <w:spacing w:val="-4"/>
          <w:szCs w:val="32"/>
        </w:rPr>
        <w:t>完善制度层面建设，加强项目过程和结果管控</w:t>
      </w:r>
    </w:p>
    <w:p>
      <w:pPr>
        <w:ind w:firstLine="420"/>
      </w:pPr>
      <w:r>
        <w:rPr>
          <w:rFonts w:hint="eastAsia"/>
        </w:rPr>
        <w:t>建议项目预算实施单位按照《行政事业单位内部控制规范》相关条款加强项目各环节管控，重点规范资金的管理和使用流程，强化资金管理、报账、对账管理；加强项目关键过程痕迹资料的留存管理，项目重要资料档案最终进行统一归档管理；加强预算绩效管理制度学习使用，绩效管理结果应当清晰反映支出和产出绩效之间的紧密对应关系。</w:t>
      </w:r>
    </w:p>
    <w:p>
      <w:pPr>
        <w:pStyle w:val="5"/>
        <w:spacing w:line="360" w:lineRule="auto"/>
        <w:ind w:firstLine="482"/>
        <w:rPr>
          <w:rFonts w:ascii="Times New Roman" w:hAnsi="Times New Roman"/>
        </w:rPr>
      </w:pPr>
      <w:bookmarkStart w:id="72" w:name="_Toc5467"/>
      <w:bookmarkStart w:id="73" w:name="_Toc32445"/>
      <w:r>
        <w:rPr>
          <w:rFonts w:ascii="Times New Roman" w:hAnsi="Times New Roman"/>
        </w:rPr>
        <w:t>七、其他需要说明的问题</w:t>
      </w:r>
      <w:bookmarkEnd w:id="72"/>
      <w:bookmarkEnd w:id="73"/>
    </w:p>
    <w:p>
      <w:pPr>
        <w:ind w:firstLine="420"/>
      </w:pPr>
      <w:bookmarkStart w:id="74" w:name="_Toc7234"/>
      <w:r>
        <w:rPr>
          <w:szCs w:val="36"/>
        </w:rPr>
        <w:t>新疆驰远天合有限责任会计师事务所</w:t>
      </w:r>
      <w:r>
        <w:t>针对上述绩效评价报告结果提出结果应用建议如下：</w:t>
      </w:r>
    </w:p>
    <w:bookmarkEnd w:id="74"/>
    <w:p>
      <w:pPr>
        <w:pStyle w:val="6"/>
        <w:ind w:firstLine="482"/>
        <w:rPr>
          <w:rFonts w:ascii="Times New Roman" w:hAnsi="Times New Roman"/>
        </w:rPr>
      </w:pPr>
      <w:bookmarkStart w:id="75" w:name="_Toc5087"/>
      <w:bookmarkStart w:id="76" w:name="_Toc18100"/>
      <w:bookmarkStart w:id="77" w:name="_Toc13336"/>
      <w:bookmarkStart w:id="78" w:name="_Toc601"/>
      <w:bookmarkStart w:id="79" w:name="_Toc330"/>
      <w:bookmarkStart w:id="80" w:name="_Toc11775"/>
      <w:r>
        <w:rPr>
          <w:rFonts w:ascii="Times New Roman" w:hAnsi="Times New Roman"/>
        </w:rPr>
        <w:t>（一）绩效结果挂钩次年预算资金安排</w:t>
      </w:r>
      <w:bookmarkEnd w:id="75"/>
      <w:bookmarkEnd w:id="76"/>
      <w:bookmarkEnd w:id="77"/>
      <w:bookmarkEnd w:id="78"/>
    </w:p>
    <w:p>
      <w:pPr>
        <w:ind w:firstLine="420"/>
      </w:pPr>
      <w:r>
        <w:t>为有效提高财政预算资金的经济性、效率性、效益性和公平性，建议将本次绩效评价结果作为预算单位次年预算编制的重要依据，并优化支出结构、完善相关办法、改进预算管理。对绩效评价结果为</w:t>
      </w:r>
      <w:r>
        <w:rPr>
          <w:rFonts w:hint="eastAsia"/>
          <w:lang w:eastAsia="zh-CN"/>
        </w:rPr>
        <w:t>“</w:t>
      </w:r>
      <w:r>
        <w:t>优秀</w:t>
      </w:r>
      <w:r>
        <w:rPr>
          <w:rFonts w:hint="eastAsia"/>
          <w:lang w:eastAsia="zh-CN"/>
        </w:rPr>
        <w:t>”</w:t>
      </w:r>
      <w:r>
        <w:t>和</w:t>
      </w:r>
      <w:r>
        <w:rPr>
          <w:rFonts w:hint="eastAsia"/>
          <w:lang w:eastAsia="zh-CN"/>
        </w:rPr>
        <w:t>“</w:t>
      </w:r>
      <w:r>
        <w:t>良好</w:t>
      </w:r>
      <w:r>
        <w:rPr>
          <w:rFonts w:hint="eastAsia"/>
          <w:lang w:eastAsia="zh-CN"/>
        </w:rPr>
        <w:t>”</w:t>
      </w:r>
      <w:r>
        <w:t>的项目，建议根据政策制度，结合巴楚县委、巴楚县人民政府工作安排以及本级财力情况等因素，原则上优先予以保障。</w:t>
      </w:r>
    </w:p>
    <w:p>
      <w:pPr>
        <w:pStyle w:val="6"/>
        <w:ind w:firstLine="482"/>
        <w:rPr>
          <w:rFonts w:ascii="Times New Roman" w:hAnsi="Times New Roman"/>
        </w:rPr>
      </w:pPr>
      <w:bookmarkStart w:id="81" w:name="_Toc2799"/>
      <w:bookmarkStart w:id="82" w:name="_Toc26104"/>
      <w:bookmarkStart w:id="83" w:name="_Toc30791"/>
      <w:r>
        <w:rPr>
          <w:rFonts w:ascii="Times New Roman" w:hAnsi="Times New Roman"/>
        </w:rPr>
        <w:t>（二）绩效结果挂钩整改措施</w:t>
      </w:r>
      <w:bookmarkEnd w:id="79"/>
      <w:bookmarkEnd w:id="80"/>
      <w:bookmarkEnd w:id="81"/>
      <w:bookmarkEnd w:id="82"/>
      <w:bookmarkEnd w:id="83"/>
    </w:p>
    <w:p>
      <w:pPr>
        <w:ind w:firstLine="420"/>
      </w:pPr>
      <w:r>
        <w:t>建议根据本次绩效评价报告中所反馈的问题和建议，由项目实施单位及时研究制定整改措施，积极落实整改要求，切实改进资金管理和项目管理，并在规定的时间内，将整改情况向巴楚县财政局行文报告，并附《绩效评价结果整改报告》。</w:t>
      </w:r>
    </w:p>
    <w:p>
      <w:pPr>
        <w:pStyle w:val="6"/>
        <w:ind w:firstLine="482"/>
        <w:rPr>
          <w:rFonts w:ascii="Times New Roman" w:hAnsi="Times New Roman"/>
        </w:rPr>
      </w:pPr>
      <w:bookmarkStart w:id="84" w:name="_Toc25946"/>
      <w:bookmarkStart w:id="85" w:name="_Toc5593"/>
      <w:bookmarkStart w:id="86" w:name="_Toc20009"/>
      <w:bookmarkStart w:id="87" w:name="_Toc15775"/>
      <w:bookmarkStart w:id="88" w:name="_Toc4774"/>
      <w:r>
        <w:rPr>
          <w:rFonts w:ascii="Times New Roman" w:hAnsi="Times New Roman"/>
        </w:rPr>
        <w:t>（三）绩效结果挂钩报告公开</w:t>
      </w:r>
      <w:bookmarkEnd w:id="84"/>
      <w:bookmarkEnd w:id="85"/>
      <w:bookmarkEnd w:id="86"/>
      <w:bookmarkEnd w:id="87"/>
      <w:bookmarkEnd w:id="88"/>
    </w:p>
    <w:p>
      <w:pPr>
        <w:ind w:firstLine="420"/>
      </w:pPr>
      <w:r>
        <w:t>积极推进评价结果和评价报告等绩效信息的公开。按照政府信息公开有关规定，由巴楚县财政局将本次绩效评价的结果信息进行公开，加强社会和舆论监督，提高财政资金使用透明度。</w:t>
      </w:r>
    </w:p>
    <w:p>
      <w:pPr>
        <w:ind w:firstLine="420"/>
      </w:pPr>
    </w:p>
    <w:p>
      <w:pPr>
        <w:pStyle w:val="14"/>
        <w:ind w:firstLine="360"/>
      </w:pPr>
    </w:p>
    <w:p>
      <w:pPr>
        <w:pStyle w:val="14"/>
        <w:ind w:firstLine="360"/>
      </w:pPr>
    </w:p>
    <w:p>
      <w:pPr>
        <w:pStyle w:val="14"/>
        <w:ind w:firstLine="360"/>
      </w:pPr>
    </w:p>
    <w:p>
      <w:pPr>
        <w:pStyle w:val="14"/>
        <w:ind w:firstLine="360"/>
      </w:pPr>
    </w:p>
    <w:p>
      <w:pPr>
        <w:pStyle w:val="14"/>
        <w:ind w:firstLine="360"/>
      </w:pPr>
    </w:p>
    <w:p>
      <w:pPr>
        <w:ind w:firstLine="3150" w:firstLineChars="1500"/>
        <w:rPr>
          <w:rFonts w:eastAsia="黑体"/>
        </w:rPr>
      </w:pPr>
      <w:r>
        <w:rPr>
          <w:rFonts w:eastAsia="黑体"/>
        </w:rPr>
        <w:t>评价机构：新疆驰远天合有限责任会计师事务所</w:t>
      </w:r>
    </w:p>
    <w:p>
      <w:pPr>
        <w:ind w:firstLine="3150" w:firstLineChars="1500"/>
        <w:rPr>
          <w:rFonts w:eastAsia="黑体"/>
        </w:rPr>
        <w:sectPr>
          <w:footerReference r:id="rId8" w:type="default"/>
          <w:pgSz w:w="11906" w:h="16838"/>
          <w:pgMar w:top="1440" w:right="1800" w:bottom="1440" w:left="1800" w:header="851" w:footer="907" w:gutter="0"/>
          <w:pgNumType w:start="1"/>
          <w:cols w:space="425" w:num="1"/>
          <w:docGrid w:type="lines" w:linePitch="312" w:charSpace="0"/>
        </w:sectPr>
      </w:pPr>
      <w:r>
        <w:rPr>
          <w:rFonts w:eastAsia="黑体"/>
        </w:rPr>
        <w:t>评价时间：2023年7月</w:t>
      </w:r>
    </w:p>
    <w:p>
      <w:pPr>
        <w:pStyle w:val="5"/>
        <w:ind w:firstLine="0" w:firstLineChars="0"/>
        <w:rPr>
          <w:rFonts w:ascii="Times New Roman" w:hAnsi="Times New Roman"/>
        </w:rPr>
      </w:pPr>
      <w:bookmarkStart w:id="89" w:name="_Toc30324"/>
      <w:r>
        <w:rPr>
          <w:rFonts w:ascii="Times New Roman" w:hAnsi="Times New Roman"/>
        </w:rPr>
        <w:t>附件1：绩效评价指标体系及综合评价表</w:t>
      </w:r>
      <w:bookmarkEnd w:id="89"/>
      <w:r>
        <w:rPr>
          <w:rFonts w:ascii="Times New Roman" w:hAnsi="Times New Roman"/>
        </w:rPr>
        <w:t xml:space="preserve"> </w:t>
      </w:r>
    </w:p>
    <w:p>
      <w:pPr>
        <w:ind w:firstLine="422"/>
        <w:jc w:val="center"/>
        <w:rPr>
          <w:rFonts w:eastAsia="宋体"/>
          <w:b/>
          <w:bCs/>
        </w:rPr>
      </w:pPr>
      <w:r>
        <w:rPr>
          <w:rFonts w:eastAsia="宋体"/>
          <w:b/>
          <w:bCs/>
        </w:rPr>
        <w:t>2022年农业机械购置补贴项目绩效评价指标体系及综合评分表</w:t>
      </w:r>
    </w:p>
    <w:tbl>
      <w:tblPr>
        <w:tblStyle w:val="20"/>
        <w:tblW w:w="4997" w:type="pct"/>
        <w:tblInd w:w="0" w:type="dxa"/>
        <w:tblLayout w:type="fixed"/>
        <w:tblCellMar>
          <w:top w:w="0" w:type="dxa"/>
          <w:left w:w="51" w:type="dxa"/>
          <w:bottom w:w="0" w:type="dxa"/>
          <w:right w:w="51" w:type="dxa"/>
        </w:tblCellMar>
      </w:tblPr>
      <w:tblGrid>
        <w:gridCol w:w="777"/>
        <w:gridCol w:w="782"/>
        <w:gridCol w:w="895"/>
        <w:gridCol w:w="1266"/>
        <w:gridCol w:w="3885"/>
        <w:gridCol w:w="1045"/>
        <w:gridCol w:w="1017"/>
        <w:gridCol w:w="818"/>
        <w:gridCol w:w="798"/>
        <w:gridCol w:w="970"/>
        <w:gridCol w:w="1799"/>
      </w:tblGrid>
      <w:tr>
        <w:tblPrEx>
          <w:tblCellMar>
            <w:top w:w="0" w:type="dxa"/>
            <w:left w:w="51" w:type="dxa"/>
            <w:bottom w:w="0" w:type="dxa"/>
            <w:right w:w="51" w:type="dxa"/>
          </w:tblCellMar>
        </w:tblPrEx>
        <w:trPr>
          <w:trHeight w:val="283" w:hRule="atLeast"/>
          <w:tblHeader/>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一级指标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二级指标</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三级指标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指标解释</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评价标准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目标值</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实际完成值</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标杆分值</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指标得分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得分率</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kern w:val="0"/>
                <w:sz w:val="20"/>
                <w:szCs w:val="20"/>
                <w:lang w:bidi="ar"/>
              </w:rPr>
            </w:pPr>
            <w:r>
              <w:rPr>
                <w:rFonts w:hint="eastAsia" w:eastAsia="宋体"/>
                <w:b/>
                <w:bCs/>
                <w:kern w:val="0"/>
                <w:sz w:val="20"/>
                <w:szCs w:val="20"/>
                <w:lang w:bidi="ar"/>
              </w:rPr>
              <w:t>扣分原因</w:t>
            </w:r>
          </w:p>
        </w:tc>
      </w:tr>
      <w:tr>
        <w:tblPrEx>
          <w:tblCellMar>
            <w:top w:w="0" w:type="dxa"/>
            <w:left w:w="51" w:type="dxa"/>
            <w:bottom w:w="0" w:type="dxa"/>
            <w:right w:w="51" w:type="dxa"/>
          </w:tblCellMar>
        </w:tblPrEx>
        <w:trPr>
          <w:trHeight w:val="2486"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A决策</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（10.00分）　</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A1 项目立项（3.00分）　</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A11立项依据充分性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宋体"/>
                <w:sz w:val="20"/>
                <w:szCs w:val="20"/>
              </w:rPr>
            </w:pPr>
            <w:r>
              <w:rPr>
                <w:rFonts w:eastAsia="宋体"/>
                <w:kern w:val="0"/>
                <w:sz w:val="20"/>
                <w:szCs w:val="20"/>
                <w:lang w:bidi="ar"/>
              </w:rPr>
              <w:t>项目立项是否符合法律法规、相关政策、发展规划以及部门职责，用以反映和考核项目立项依据情况。</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宋体"/>
                <w:sz w:val="20"/>
                <w:szCs w:val="20"/>
              </w:rPr>
            </w:pPr>
            <w:r>
              <w:rPr>
                <w:rFonts w:eastAsia="宋体"/>
                <w:kern w:val="0"/>
                <w:sz w:val="20"/>
                <w:szCs w:val="20"/>
                <w:lang w:bidi="ar"/>
              </w:rPr>
              <w:t>评价要点：</w:t>
            </w:r>
            <w:r>
              <w:rPr>
                <w:rFonts w:eastAsia="宋体"/>
                <w:kern w:val="0"/>
                <w:sz w:val="20"/>
                <w:szCs w:val="20"/>
                <w:lang w:bidi="ar"/>
              </w:rPr>
              <w:br w:type="textWrapping"/>
            </w:r>
            <w:r>
              <w:rPr>
                <w:rFonts w:eastAsia="宋体"/>
                <w:kern w:val="0"/>
                <w:sz w:val="20"/>
                <w:szCs w:val="20"/>
                <w:lang w:bidi="ar"/>
              </w:rPr>
              <w:t>①项目立项是否符合国家法律法规、国民经济发展规划和相关政策；</w:t>
            </w:r>
            <w:r>
              <w:rPr>
                <w:rFonts w:eastAsia="宋体"/>
                <w:kern w:val="0"/>
                <w:sz w:val="20"/>
                <w:szCs w:val="20"/>
                <w:lang w:bidi="ar"/>
              </w:rPr>
              <w:br w:type="textWrapping"/>
            </w:r>
            <w:r>
              <w:rPr>
                <w:rFonts w:eastAsia="宋体"/>
                <w:kern w:val="0"/>
                <w:sz w:val="20"/>
                <w:szCs w:val="20"/>
                <w:lang w:bidi="ar"/>
              </w:rPr>
              <w:t>②项目立项是否符合行业发展规划和政策要求；</w:t>
            </w:r>
            <w:r>
              <w:rPr>
                <w:rFonts w:eastAsia="宋体"/>
                <w:kern w:val="0"/>
                <w:sz w:val="20"/>
                <w:szCs w:val="20"/>
                <w:lang w:bidi="ar"/>
              </w:rPr>
              <w:br w:type="textWrapping"/>
            </w:r>
            <w:r>
              <w:rPr>
                <w:rFonts w:eastAsia="宋体"/>
                <w:kern w:val="0"/>
                <w:sz w:val="20"/>
                <w:szCs w:val="20"/>
                <w:lang w:bidi="ar"/>
              </w:rPr>
              <w:t>③项目立项是否与部门职责范围相符，属于部门履职所需；</w:t>
            </w:r>
            <w:r>
              <w:rPr>
                <w:rFonts w:eastAsia="宋体"/>
                <w:kern w:val="0"/>
                <w:sz w:val="20"/>
                <w:szCs w:val="20"/>
                <w:lang w:bidi="ar"/>
              </w:rPr>
              <w:br w:type="textWrapping"/>
            </w:r>
            <w:r>
              <w:rPr>
                <w:rFonts w:eastAsia="宋体"/>
                <w:kern w:val="0"/>
                <w:sz w:val="20"/>
                <w:szCs w:val="20"/>
                <w:lang w:bidi="ar"/>
              </w:rPr>
              <w:t>④项目是否属于公共财政支持范围，是否符合中央、地方事权支出责任划分原则；</w:t>
            </w:r>
            <w:r>
              <w:rPr>
                <w:rFonts w:eastAsia="宋体"/>
                <w:kern w:val="0"/>
                <w:sz w:val="20"/>
                <w:szCs w:val="20"/>
                <w:lang w:bidi="ar"/>
              </w:rPr>
              <w:br w:type="textWrapping"/>
            </w:r>
            <w:r>
              <w:rPr>
                <w:rFonts w:eastAsia="宋体"/>
                <w:kern w:val="0"/>
                <w:sz w:val="20"/>
                <w:szCs w:val="20"/>
                <w:lang w:bidi="ar"/>
              </w:rPr>
              <w:t>⑤项目是否与相关部门同类项目或部门内部相关项目重复。</w:t>
            </w:r>
            <w:r>
              <w:rPr>
                <w:rFonts w:eastAsia="宋体"/>
                <w:kern w:val="0"/>
                <w:sz w:val="20"/>
                <w:szCs w:val="20"/>
                <w:lang w:bidi="ar"/>
              </w:rPr>
              <w:br w:type="textWrapping"/>
            </w:r>
            <w:r>
              <w:rPr>
                <w:rFonts w:eastAsia="宋体"/>
                <w:kern w:val="0"/>
                <w:sz w:val="20"/>
                <w:szCs w:val="20"/>
                <w:lang w:bidi="ar"/>
              </w:rPr>
              <w:t>以上五项中，符合则得满分，否则扣除相应分数，扣完为止，具体扣分规则如下：若①至③不符合，则每一点扣30%的权重分；若④至⑤中不符合，则每一点扣20%的权重分。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充分</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充分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1.50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1.50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p>
        </w:tc>
      </w:tr>
      <w:tr>
        <w:tblPrEx>
          <w:tblCellMar>
            <w:top w:w="0" w:type="dxa"/>
            <w:left w:w="51" w:type="dxa"/>
            <w:bottom w:w="0" w:type="dxa"/>
            <w:right w:w="51" w:type="dxa"/>
          </w:tblCellMar>
        </w:tblPrEx>
        <w:trPr>
          <w:trHeight w:val="1491"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eastAsia="仿宋_GB2312"/>
                <w:sz w:val="20"/>
                <w:szCs w:val="20"/>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eastAsia="仿宋_GB2312"/>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宋体"/>
                <w:sz w:val="20"/>
                <w:szCs w:val="20"/>
              </w:rPr>
            </w:pPr>
            <w:r>
              <w:rPr>
                <w:rFonts w:eastAsia="宋体"/>
                <w:kern w:val="0"/>
                <w:sz w:val="20"/>
                <w:szCs w:val="20"/>
                <w:lang w:bidi="ar"/>
              </w:rPr>
              <w:t>A12立项程序规范性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宋体"/>
                <w:sz w:val="20"/>
                <w:szCs w:val="20"/>
              </w:rPr>
            </w:pPr>
            <w:r>
              <w:rPr>
                <w:rFonts w:eastAsia="宋体"/>
                <w:kern w:val="0"/>
                <w:sz w:val="20"/>
                <w:szCs w:val="20"/>
                <w:lang w:bidi="ar"/>
              </w:rPr>
              <w:t>项目申请、设立过程是否符合相关要求，用以反映和考核项目立项的规范情况。</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宋体"/>
                <w:sz w:val="20"/>
                <w:szCs w:val="20"/>
              </w:rPr>
            </w:pPr>
            <w:r>
              <w:rPr>
                <w:rFonts w:eastAsia="宋体"/>
                <w:kern w:val="0"/>
                <w:sz w:val="20"/>
                <w:szCs w:val="20"/>
                <w:lang w:bidi="ar"/>
              </w:rPr>
              <w:t>评价要点：</w:t>
            </w:r>
            <w:r>
              <w:rPr>
                <w:rFonts w:eastAsia="宋体"/>
                <w:kern w:val="0"/>
                <w:sz w:val="20"/>
                <w:szCs w:val="20"/>
                <w:lang w:bidi="ar"/>
              </w:rPr>
              <w:br w:type="textWrapping"/>
            </w:r>
            <w:r>
              <w:rPr>
                <w:rFonts w:eastAsia="宋体"/>
                <w:kern w:val="0"/>
                <w:sz w:val="20"/>
                <w:szCs w:val="20"/>
                <w:lang w:bidi="ar"/>
              </w:rPr>
              <w:t>①项目是否按照规定的程序申请设立；</w:t>
            </w:r>
            <w:r>
              <w:rPr>
                <w:rFonts w:eastAsia="宋体"/>
                <w:kern w:val="0"/>
                <w:sz w:val="20"/>
                <w:szCs w:val="20"/>
                <w:lang w:bidi="ar"/>
              </w:rPr>
              <w:br w:type="textWrapping"/>
            </w:r>
            <w:r>
              <w:rPr>
                <w:rFonts w:eastAsia="宋体"/>
                <w:kern w:val="0"/>
                <w:sz w:val="20"/>
                <w:szCs w:val="20"/>
                <w:lang w:bidi="ar"/>
              </w:rPr>
              <w:t>②审批文件、材料是否符合相关要求；</w:t>
            </w:r>
            <w:r>
              <w:rPr>
                <w:rFonts w:eastAsia="宋体"/>
                <w:kern w:val="0"/>
                <w:sz w:val="20"/>
                <w:szCs w:val="20"/>
                <w:lang w:bidi="ar"/>
              </w:rPr>
              <w:br w:type="textWrapping"/>
            </w:r>
            <w:r>
              <w:rPr>
                <w:rFonts w:eastAsia="宋体"/>
                <w:kern w:val="0"/>
                <w:sz w:val="20"/>
                <w:szCs w:val="20"/>
                <w:lang w:bidi="ar"/>
              </w:rPr>
              <w:t>③事前是否已经过必要的可行性研究、专家论证、风险评估、绩效评估、集体决策。</w:t>
            </w:r>
            <w:r>
              <w:rPr>
                <w:rFonts w:eastAsia="宋体"/>
                <w:kern w:val="0"/>
                <w:sz w:val="20"/>
                <w:szCs w:val="20"/>
                <w:lang w:bidi="ar"/>
              </w:rPr>
              <w:br w:type="textWrapping"/>
            </w:r>
            <w:r>
              <w:rPr>
                <w:rFonts w:eastAsia="宋体"/>
                <w:kern w:val="0"/>
                <w:sz w:val="20"/>
                <w:szCs w:val="20"/>
                <w:lang w:bidi="ar"/>
              </w:rPr>
              <w:t>以上三项中，①至③每项满分1分，每发现一处不符扣0.5分，扣完为止。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合规</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合规</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1.50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1.50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p>
        </w:tc>
      </w:tr>
      <w:tr>
        <w:tblPrEx>
          <w:tblCellMar>
            <w:top w:w="0" w:type="dxa"/>
            <w:left w:w="51" w:type="dxa"/>
            <w:bottom w:w="0" w:type="dxa"/>
            <w:right w:w="51" w:type="dxa"/>
          </w:tblCellMar>
        </w:tblPrEx>
        <w:trPr>
          <w:trHeight w:val="174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eastAsia="仿宋_GB2312"/>
                <w:sz w:val="20"/>
                <w:szCs w:val="20"/>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A2 绩效目标（4.00分）　</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A21绩效目标合理性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宋体"/>
                <w:sz w:val="20"/>
                <w:szCs w:val="20"/>
              </w:rPr>
            </w:pPr>
            <w:r>
              <w:rPr>
                <w:rFonts w:eastAsia="宋体"/>
                <w:kern w:val="0"/>
                <w:sz w:val="20"/>
                <w:szCs w:val="20"/>
                <w:lang w:bidi="ar"/>
              </w:rPr>
              <w:t>项目所设定的绩效目标是否依据充分，是否符合客观实际，用以反映和考核项目绩效目标与项目实施的相符情况。</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宋体"/>
                <w:sz w:val="20"/>
                <w:szCs w:val="20"/>
              </w:rPr>
            </w:pPr>
            <w:r>
              <w:rPr>
                <w:rFonts w:eastAsia="宋体"/>
                <w:kern w:val="0"/>
                <w:sz w:val="20"/>
                <w:szCs w:val="20"/>
                <w:lang w:bidi="ar"/>
              </w:rPr>
              <w:t>评价要点：</w:t>
            </w:r>
            <w:r>
              <w:rPr>
                <w:rFonts w:eastAsia="宋体"/>
                <w:kern w:val="0"/>
                <w:sz w:val="20"/>
                <w:szCs w:val="20"/>
                <w:lang w:bidi="ar"/>
              </w:rPr>
              <w:br w:type="textWrapping"/>
            </w:r>
            <w:r>
              <w:rPr>
                <w:rFonts w:eastAsia="宋体"/>
                <w:kern w:val="0"/>
                <w:sz w:val="20"/>
                <w:szCs w:val="20"/>
                <w:lang w:bidi="ar"/>
              </w:rPr>
              <w:t>①项目是否有绩效目标；</w:t>
            </w:r>
            <w:r>
              <w:rPr>
                <w:rFonts w:eastAsia="宋体"/>
                <w:kern w:val="0"/>
                <w:sz w:val="20"/>
                <w:szCs w:val="20"/>
                <w:lang w:bidi="ar"/>
              </w:rPr>
              <w:br w:type="textWrapping"/>
            </w:r>
            <w:r>
              <w:rPr>
                <w:rFonts w:eastAsia="宋体"/>
                <w:kern w:val="0"/>
                <w:sz w:val="20"/>
                <w:szCs w:val="20"/>
                <w:lang w:bidi="ar"/>
              </w:rPr>
              <w:t>②项目绩效目标与实际工作内容是否具有相关性；</w:t>
            </w:r>
            <w:r>
              <w:rPr>
                <w:rFonts w:eastAsia="宋体"/>
                <w:kern w:val="0"/>
                <w:sz w:val="20"/>
                <w:szCs w:val="20"/>
                <w:lang w:bidi="ar"/>
              </w:rPr>
              <w:br w:type="textWrapping"/>
            </w:r>
            <w:r>
              <w:rPr>
                <w:rFonts w:eastAsia="宋体"/>
                <w:kern w:val="0"/>
                <w:sz w:val="20"/>
                <w:szCs w:val="20"/>
                <w:lang w:bidi="ar"/>
              </w:rPr>
              <w:t>③项目预期产出效益和效果是否符合正常的业绩水平；</w:t>
            </w:r>
            <w:r>
              <w:rPr>
                <w:rFonts w:eastAsia="宋体"/>
                <w:kern w:val="0"/>
                <w:sz w:val="20"/>
                <w:szCs w:val="20"/>
                <w:lang w:bidi="ar"/>
              </w:rPr>
              <w:br w:type="textWrapping"/>
            </w:r>
            <w:r>
              <w:rPr>
                <w:rFonts w:eastAsia="宋体"/>
                <w:kern w:val="0"/>
                <w:sz w:val="20"/>
                <w:szCs w:val="20"/>
                <w:lang w:bidi="ar"/>
              </w:rPr>
              <w:t>④是否与预算确定的项目投资额或资金量相匹配。</w:t>
            </w:r>
            <w:r>
              <w:rPr>
                <w:rFonts w:eastAsia="宋体"/>
                <w:kern w:val="0"/>
                <w:sz w:val="20"/>
                <w:szCs w:val="20"/>
                <w:lang w:bidi="ar"/>
              </w:rPr>
              <w:br w:type="textWrapping"/>
            </w:r>
            <w:r>
              <w:rPr>
                <w:rFonts w:eastAsia="宋体"/>
                <w:kern w:val="0"/>
                <w:sz w:val="20"/>
                <w:szCs w:val="20"/>
                <w:lang w:bidi="ar"/>
              </w:rPr>
              <w:t>以上四项中，若①不符合，则此指标不得分；若①符合，则②③④分别占25%的权重分，符合则得分，否则扣除相应权重分，扣完为止。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合理</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合理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2.00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2.00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p>
        </w:tc>
      </w:tr>
      <w:tr>
        <w:tblPrEx>
          <w:tblCellMar>
            <w:top w:w="0" w:type="dxa"/>
            <w:left w:w="51" w:type="dxa"/>
            <w:bottom w:w="0" w:type="dxa"/>
            <w:right w:w="51" w:type="dxa"/>
          </w:tblCellMar>
        </w:tblPrEx>
        <w:trPr>
          <w:trHeight w:val="1989"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eastAsia="仿宋_GB2312"/>
                <w:sz w:val="20"/>
                <w:szCs w:val="20"/>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Theme="minorEastAsia" w:hAnsiTheme="minorEastAsia" w:cstheme="minor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A22绩效指标明确性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宋体"/>
                <w:sz w:val="20"/>
                <w:szCs w:val="20"/>
              </w:rPr>
            </w:pPr>
            <w:r>
              <w:rPr>
                <w:rFonts w:eastAsia="宋体"/>
                <w:kern w:val="0"/>
                <w:sz w:val="20"/>
                <w:szCs w:val="20"/>
                <w:lang w:bidi="ar"/>
              </w:rPr>
              <w:t>依据绩效目标设定的绩效指标是否清晰、细化、可衡量等，用以反映和考核项目绩效目标的明细化情况。</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宋体"/>
                <w:sz w:val="20"/>
                <w:szCs w:val="20"/>
              </w:rPr>
            </w:pPr>
            <w:r>
              <w:rPr>
                <w:rFonts w:eastAsia="宋体"/>
                <w:kern w:val="0"/>
                <w:sz w:val="20"/>
                <w:szCs w:val="20"/>
                <w:lang w:bidi="ar"/>
              </w:rPr>
              <w:t>评价要点：</w:t>
            </w:r>
            <w:r>
              <w:rPr>
                <w:rFonts w:eastAsia="宋体"/>
                <w:kern w:val="0"/>
                <w:sz w:val="20"/>
                <w:szCs w:val="20"/>
                <w:lang w:bidi="ar"/>
              </w:rPr>
              <w:br w:type="textWrapping"/>
            </w:r>
            <w:r>
              <w:rPr>
                <w:rFonts w:eastAsia="宋体"/>
                <w:kern w:val="0"/>
                <w:sz w:val="20"/>
                <w:szCs w:val="20"/>
                <w:lang w:bidi="ar"/>
              </w:rPr>
              <w:t>①是否将项目绩效目标细化分解为具体的绩效指标；</w:t>
            </w:r>
            <w:r>
              <w:rPr>
                <w:rFonts w:eastAsia="宋体"/>
                <w:kern w:val="0"/>
                <w:sz w:val="20"/>
                <w:szCs w:val="20"/>
                <w:lang w:bidi="ar"/>
              </w:rPr>
              <w:br w:type="textWrapping"/>
            </w:r>
            <w:r>
              <w:rPr>
                <w:rFonts w:eastAsia="宋体"/>
                <w:kern w:val="0"/>
                <w:sz w:val="20"/>
                <w:szCs w:val="20"/>
                <w:lang w:bidi="ar"/>
              </w:rPr>
              <w:t>②绩效目标和指标具备明确性（目标是否指向明确）、可衡量性（通过可通过清晰、可衡量的指标予以体现）、可实现性（项目预期产出和效果 符合正常的业绩水平）、相关性（绩效目标与预算的关联性）、时限性（有明确目标实现时间）。</w:t>
            </w:r>
            <w:r>
              <w:rPr>
                <w:rFonts w:eastAsia="宋体"/>
                <w:kern w:val="0"/>
                <w:sz w:val="20"/>
                <w:szCs w:val="20"/>
                <w:lang w:bidi="ar"/>
              </w:rPr>
              <w:br w:type="textWrapping"/>
            </w:r>
            <w:r>
              <w:rPr>
                <w:rFonts w:eastAsia="宋体"/>
                <w:kern w:val="0"/>
                <w:sz w:val="20"/>
                <w:szCs w:val="20"/>
                <w:lang w:bidi="ar"/>
              </w:rPr>
              <w:t>以上两项中，若①不符合，则此指标不得分；若①符合，则②中每小点占20%的权重分，符合则得分，否则扣除相应权重分，扣完为止。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明确</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较明确</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2.00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 xml:space="preserve">1.60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80.00%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r>
              <w:rPr>
                <w:sz w:val="20"/>
                <w:szCs w:val="20"/>
              </w:rPr>
              <w:t>数量指标与实际完成值的偏差分别为9.34%、16.75%和33.53%，均存在一定偏差，绩效指标的设置目标值填报准确性有待提高，根据评分标准扣0.40分。</w:t>
            </w:r>
          </w:p>
        </w:tc>
      </w:tr>
      <w:tr>
        <w:tblPrEx>
          <w:tblCellMar>
            <w:top w:w="0" w:type="dxa"/>
            <w:left w:w="51" w:type="dxa"/>
            <w:bottom w:w="0" w:type="dxa"/>
            <w:right w:w="51" w:type="dxa"/>
          </w:tblCellMar>
        </w:tblPrEx>
        <w:trPr>
          <w:trHeight w:val="174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eastAsia="仿宋_GB2312"/>
                <w:sz w:val="20"/>
                <w:szCs w:val="20"/>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A3 资金投入（3.00分）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A31预算编制科学性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宋体"/>
                <w:sz w:val="20"/>
                <w:szCs w:val="20"/>
              </w:rPr>
            </w:pPr>
            <w:r>
              <w:rPr>
                <w:rFonts w:eastAsia="宋体"/>
                <w:kern w:val="0"/>
                <w:sz w:val="20"/>
                <w:szCs w:val="20"/>
                <w:lang w:bidi="ar"/>
              </w:rPr>
              <w:t>项目预算编制是否经过科学论证、有明确标准，资金额度与年度目标是否相适应，用以反映和考核项目预算编制的科学性、合理性情况。</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宋体"/>
                <w:sz w:val="20"/>
                <w:szCs w:val="20"/>
              </w:rPr>
            </w:pPr>
            <w:r>
              <w:rPr>
                <w:rFonts w:eastAsia="宋体"/>
                <w:kern w:val="0"/>
                <w:sz w:val="20"/>
                <w:szCs w:val="20"/>
                <w:lang w:bidi="ar"/>
              </w:rPr>
              <w:t>评价要点：</w:t>
            </w:r>
            <w:r>
              <w:rPr>
                <w:rFonts w:eastAsia="宋体"/>
                <w:kern w:val="0"/>
                <w:sz w:val="20"/>
                <w:szCs w:val="20"/>
                <w:lang w:bidi="ar"/>
              </w:rPr>
              <w:br w:type="textWrapping"/>
            </w:r>
            <w:r>
              <w:rPr>
                <w:rFonts w:eastAsia="宋体"/>
                <w:kern w:val="0"/>
                <w:sz w:val="20"/>
                <w:szCs w:val="20"/>
                <w:lang w:bidi="ar"/>
              </w:rPr>
              <w:t>①预算编制是否经过科学论证；</w:t>
            </w:r>
            <w:r>
              <w:rPr>
                <w:rFonts w:eastAsia="宋体"/>
                <w:kern w:val="0"/>
                <w:sz w:val="20"/>
                <w:szCs w:val="20"/>
                <w:lang w:bidi="ar"/>
              </w:rPr>
              <w:br w:type="textWrapping"/>
            </w:r>
            <w:r>
              <w:rPr>
                <w:rFonts w:eastAsia="宋体"/>
                <w:kern w:val="0"/>
                <w:sz w:val="20"/>
                <w:szCs w:val="20"/>
                <w:lang w:bidi="ar"/>
              </w:rPr>
              <w:t>②预算内容与项目内容是否匹配；</w:t>
            </w:r>
            <w:r>
              <w:rPr>
                <w:rFonts w:eastAsia="宋体"/>
                <w:kern w:val="0"/>
                <w:sz w:val="20"/>
                <w:szCs w:val="20"/>
                <w:lang w:bidi="ar"/>
              </w:rPr>
              <w:br w:type="textWrapping"/>
            </w:r>
            <w:r>
              <w:rPr>
                <w:rFonts w:eastAsia="宋体"/>
                <w:kern w:val="0"/>
                <w:sz w:val="20"/>
                <w:szCs w:val="20"/>
                <w:lang w:bidi="ar"/>
              </w:rPr>
              <w:t>③预算额度测算依据是否充分，是否按照标准编制；</w:t>
            </w:r>
            <w:r>
              <w:rPr>
                <w:rFonts w:eastAsia="宋体"/>
                <w:kern w:val="0"/>
                <w:sz w:val="20"/>
                <w:szCs w:val="20"/>
                <w:lang w:bidi="ar"/>
              </w:rPr>
              <w:br w:type="textWrapping"/>
            </w:r>
            <w:r>
              <w:rPr>
                <w:rFonts w:eastAsia="宋体"/>
                <w:kern w:val="0"/>
                <w:sz w:val="20"/>
                <w:szCs w:val="20"/>
                <w:lang w:bidi="ar"/>
              </w:rPr>
              <w:t>④预算确定的项目投资额或资金量是否与工作任务相匹配。</w:t>
            </w:r>
            <w:r>
              <w:rPr>
                <w:rFonts w:eastAsia="宋体"/>
                <w:kern w:val="0"/>
                <w:sz w:val="20"/>
                <w:szCs w:val="20"/>
                <w:lang w:bidi="ar"/>
              </w:rPr>
              <w:br w:type="textWrapping"/>
            </w:r>
            <w:r>
              <w:rPr>
                <w:rFonts w:eastAsia="宋体"/>
                <w:kern w:val="0"/>
                <w:sz w:val="20"/>
                <w:szCs w:val="20"/>
                <w:lang w:bidi="ar"/>
              </w:rPr>
              <w:t>以上四项①至④分别占30%、30%、20%和 20%的权重分，符合则得分，否则扣除相应权重分，扣完为止。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科学</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科学</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1.50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1.50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p>
        </w:tc>
      </w:tr>
      <w:tr>
        <w:tblPrEx>
          <w:tblCellMar>
            <w:top w:w="0" w:type="dxa"/>
            <w:left w:w="51" w:type="dxa"/>
            <w:bottom w:w="0" w:type="dxa"/>
            <w:right w:w="51" w:type="dxa"/>
          </w:tblCellMar>
        </w:tblPrEx>
        <w:trPr>
          <w:trHeight w:val="1491"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eastAsia="仿宋_GB2312"/>
                <w:sz w:val="20"/>
                <w:szCs w:val="20"/>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eastAsia="仿宋_GB2312"/>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宋体"/>
                <w:sz w:val="20"/>
                <w:szCs w:val="20"/>
              </w:rPr>
            </w:pPr>
            <w:r>
              <w:rPr>
                <w:rFonts w:eastAsia="宋体"/>
                <w:kern w:val="0"/>
                <w:sz w:val="20"/>
                <w:szCs w:val="20"/>
                <w:lang w:bidi="ar"/>
              </w:rPr>
              <w:t>A32资金分配合理性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宋体"/>
                <w:sz w:val="20"/>
                <w:szCs w:val="20"/>
              </w:rPr>
            </w:pPr>
            <w:r>
              <w:rPr>
                <w:rFonts w:eastAsia="宋体"/>
                <w:kern w:val="0"/>
                <w:sz w:val="20"/>
                <w:szCs w:val="20"/>
                <w:lang w:bidi="ar"/>
              </w:rPr>
              <w:t>项目预算资金分配是否有测算依据，与补助单位或地方实际是否相适应，用以反映和考核项目预算资金分配的科学性、合理性情况。</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宋体"/>
                <w:sz w:val="20"/>
                <w:szCs w:val="20"/>
              </w:rPr>
            </w:pPr>
            <w:r>
              <w:rPr>
                <w:rFonts w:eastAsia="宋体"/>
                <w:kern w:val="0"/>
                <w:sz w:val="20"/>
                <w:szCs w:val="20"/>
                <w:lang w:bidi="ar"/>
              </w:rPr>
              <w:t>评价要点：</w:t>
            </w:r>
            <w:r>
              <w:rPr>
                <w:rFonts w:eastAsia="宋体"/>
                <w:kern w:val="0"/>
                <w:sz w:val="20"/>
                <w:szCs w:val="20"/>
                <w:lang w:bidi="ar"/>
              </w:rPr>
              <w:br w:type="textWrapping"/>
            </w:r>
            <w:r>
              <w:rPr>
                <w:rFonts w:eastAsia="宋体"/>
                <w:kern w:val="0"/>
                <w:sz w:val="20"/>
                <w:szCs w:val="20"/>
                <w:lang w:bidi="ar"/>
              </w:rPr>
              <w:t>①预算资金分配依据是否充分；</w:t>
            </w:r>
            <w:r>
              <w:rPr>
                <w:rFonts w:eastAsia="宋体"/>
                <w:kern w:val="0"/>
                <w:sz w:val="20"/>
                <w:szCs w:val="20"/>
                <w:lang w:bidi="ar"/>
              </w:rPr>
              <w:br w:type="textWrapping"/>
            </w:r>
            <w:r>
              <w:rPr>
                <w:rFonts w:eastAsia="宋体"/>
                <w:kern w:val="0"/>
                <w:sz w:val="20"/>
                <w:szCs w:val="20"/>
                <w:lang w:bidi="ar"/>
              </w:rPr>
              <w:t>②资金分配额度是否合理，与项目单位或地方实际是否相适应。</w:t>
            </w:r>
            <w:r>
              <w:rPr>
                <w:rFonts w:eastAsia="宋体"/>
                <w:kern w:val="0"/>
                <w:sz w:val="20"/>
                <w:szCs w:val="20"/>
                <w:lang w:bidi="ar"/>
              </w:rPr>
              <w:br w:type="textWrapping"/>
            </w:r>
            <w:r>
              <w:rPr>
                <w:rFonts w:eastAsia="宋体"/>
                <w:kern w:val="0"/>
                <w:sz w:val="20"/>
                <w:szCs w:val="20"/>
                <w:lang w:bidi="ar"/>
              </w:rPr>
              <w:t>以上两项分别占50%的权重分，符合则得分，否则扣除相应权重的100%、80%、60%、40%和20%的分值，扣完为止。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合理</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合理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1.50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1.50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p>
        </w:tc>
      </w:tr>
      <w:tr>
        <w:tblPrEx>
          <w:tblCellMar>
            <w:top w:w="0" w:type="dxa"/>
            <w:left w:w="51" w:type="dxa"/>
            <w:bottom w:w="0" w:type="dxa"/>
            <w:right w:w="51" w:type="dxa"/>
          </w:tblCellMar>
        </w:tblPrEx>
        <w:trPr>
          <w:trHeight w:val="283" w:hRule="atLeast"/>
        </w:trPr>
        <w:tc>
          <w:tcPr>
            <w:tcW w:w="27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小计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eastAsia="宋体"/>
                <w:b/>
                <w:bCs/>
                <w:sz w:val="20"/>
                <w:szCs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eastAsia="宋体"/>
                <w:b/>
                <w:bCs/>
                <w:sz w:val="20"/>
                <w:szCs w:val="20"/>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 xml:space="preserve">10.00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 xml:space="preserve">9.60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96.00%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kern w:val="0"/>
                <w:sz w:val="20"/>
                <w:szCs w:val="20"/>
                <w:lang w:bidi="ar"/>
              </w:rPr>
            </w:pPr>
          </w:p>
        </w:tc>
      </w:tr>
      <w:tr>
        <w:tblPrEx>
          <w:tblCellMar>
            <w:top w:w="0" w:type="dxa"/>
            <w:left w:w="51" w:type="dxa"/>
            <w:bottom w:w="0" w:type="dxa"/>
            <w:right w:w="51" w:type="dxa"/>
          </w:tblCellMar>
        </w:tblPrEx>
        <w:trPr>
          <w:trHeight w:val="1243" w:hRule="atLeast"/>
        </w:trPr>
        <w:tc>
          <w:tcPr>
            <w:tcW w:w="27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B过程</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（25.00分）</w:t>
            </w:r>
          </w:p>
        </w:tc>
        <w:tc>
          <w:tcPr>
            <w:tcW w:w="27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B1 资金管理（13.00分）　</w:t>
            </w:r>
          </w:p>
        </w:tc>
        <w:tc>
          <w:tcPr>
            <w:tcW w:w="318"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B11资金到位率</w:t>
            </w:r>
          </w:p>
        </w:tc>
        <w:tc>
          <w:tcPr>
            <w:tcW w:w="450"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实际到位资金与预算资金的比率，用以反映和考核资金落实情况对项目实施的总体保障程度。</w:t>
            </w:r>
          </w:p>
        </w:tc>
        <w:tc>
          <w:tcPr>
            <w:tcW w:w="1380"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资金到位率=（实际到位资金/预算资金）×100%。</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项目完成且资金到位数满足年度预算规模需求，得3分；项目尚未完成，资金到位率小于100%且大于等于80%的得2分，资金到位率小于80%且大于等于60%的得1.50分，资金到位率小于60%的不得分。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100.00%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100.00%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3.00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3.00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p>
        </w:tc>
      </w:tr>
      <w:tr>
        <w:tblPrEx>
          <w:tblCellMar>
            <w:top w:w="0" w:type="dxa"/>
            <w:left w:w="51" w:type="dxa"/>
            <w:bottom w:w="0" w:type="dxa"/>
            <w:right w:w="51" w:type="dxa"/>
          </w:tblCellMar>
        </w:tblPrEx>
        <w:trPr>
          <w:trHeight w:val="994" w:hRule="atLeast"/>
        </w:trPr>
        <w:tc>
          <w:tcPr>
            <w:tcW w:w="276" w:type="pct"/>
            <w:vMerge w:val="continue"/>
            <w:tcBorders>
              <w:top w:val="nil"/>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vMerge w:val="continue"/>
            <w:tcBorders>
              <w:top w:val="nil"/>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B12预算执行率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项目预算资金是否按照计划执行，用以反映或考核项目预算执行情况。</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预算执行率=（实际支出资金/实际到位资金）×100%。</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项目完成且执行数控制在年度预算规模之内的，得5分；项目尚未完成，预算执行率小于100%且大于等于80%的得3分，预算执行率小于80%且大于等于60%的得2分，预算执行率小于60%的不得分。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100.00%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99.83%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5.00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5.00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p>
        </w:tc>
      </w:tr>
      <w:tr>
        <w:tblPrEx>
          <w:tblCellMar>
            <w:top w:w="0" w:type="dxa"/>
            <w:left w:w="51" w:type="dxa"/>
            <w:bottom w:w="0" w:type="dxa"/>
            <w:right w:w="51" w:type="dxa"/>
          </w:tblCellMar>
        </w:tblPrEx>
        <w:trPr>
          <w:trHeight w:val="2237" w:hRule="atLeast"/>
        </w:trPr>
        <w:tc>
          <w:tcPr>
            <w:tcW w:w="276" w:type="pct"/>
            <w:vMerge w:val="continue"/>
            <w:tcBorders>
              <w:top w:val="nil"/>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vMerge w:val="continue"/>
            <w:tcBorders>
              <w:top w:val="nil"/>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B13资金使用合规性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考察项目单位资金的使用规范程度。项目资金使用是否符合相关法律法规、制度和规定，用以反映和考核项目资金使用的规范性和安全性。</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评价要点：</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①是否符合国家财经法规和财务管理制度以及有关专项资金管理办法的规定；</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②是否符合项目预算批复或合同规定的用途；</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③是否存在截留、挤占、挪用、虚列支出等情况；</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④资金的拨付是否有完整的审批程序和手续。</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以上四项分别占25%的权重分，不满足①或②或③时属于严重违规事项，本项指标不得分，在符合①、②和③的条件下，其他各项符合则得分，否则扣除相应权重分，扣完为止。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合规</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合规</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5.00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5.00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p>
        </w:tc>
      </w:tr>
      <w:tr>
        <w:tblPrEx>
          <w:tblCellMar>
            <w:top w:w="0" w:type="dxa"/>
            <w:left w:w="51" w:type="dxa"/>
            <w:bottom w:w="0" w:type="dxa"/>
            <w:right w:w="51" w:type="dxa"/>
          </w:tblCellMar>
        </w:tblPrEx>
        <w:trPr>
          <w:trHeight w:val="691" w:hRule="atLeast"/>
        </w:trPr>
        <w:tc>
          <w:tcPr>
            <w:tcW w:w="276" w:type="pct"/>
            <w:vMerge w:val="continue"/>
            <w:tcBorders>
              <w:top w:val="nil"/>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B2 组织实施（12.00分）　</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B21管理制度健全性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项目实施单位的财务和业务管理制度是否健全，用以反映和考核财务和业务管理制度对项目顺利实施的保障情况。</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评价要点：</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①是否已制定或具有相应的财务和业务管理制度；</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②财务和业务管理制度是否合法、合规、完整。</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以上两项分别占50%的权重分，符合则得分，否则扣除相应权重的100%、80%、60%、40%和20%的分值，扣完为止。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健全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健全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4.00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4.00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p>
        </w:tc>
      </w:tr>
      <w:tr>
        <w:tblPrEx>
          <w:tblCellMar>
            <w:top w:w="0" w:type="dxa"/>
            <w:left w:w="51" w:type="dxa"/>
            <w:bottom w:w="0" w:type="dxa"/>
            <w:right w:w="51" w:type="dxa"/>
          </w:tblCellMar>
        </w:tblPrEx>
        <w:trPr>
          <w:trHeight w:val="1989" w:hRule="atLeast"/>
        </w:trPr>
        <w:tc>
          <w:tcPr>
            <w:tcW w:w="276" w:type="pct"/>
            <w:vMerge w:val="continue"/>
            <w:tcBorders>
              <w:top w:val="nil"/>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Theme="minorEastAsia" w:hAnsiTheme="minorEastAsia" w:cstheme="minor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B22制度执行有效性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项目实施是否符合相关管理规定，用以反映和考核相关管理制度的有效执行情况。</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评价要点：</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①是否遵守相关法律法规和相关管理规定；</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②项目调整及支出调整手续是否完备；</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③项目合同书、验收报告、技术鉴定等资料是否齐全并及时归档；</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④项目实施的人员条件、场地设备、信息支撑等是否落实到位。</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以上四项中，①占40%的权重分，②至④分别占20%的权重分，各项符合则得分，否则扣除相应权重的100%、80%、60%、40%和20%的分值，扣完为止。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有效</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较有效</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8.00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_GB2312"/>
                <w:sz w:val="20"/>
                <w:szCs w:val="20"/>
              </w:rPr>
            </w:pPr>
            <w:r>
              <w:rPr>
                <w:rFonts w:eastAsia="仿宋_GB2312"/>
                <w:kern w:val="0"/>
                <w:sz w:val="20"/>
                <w:szCs w:val="20"/>
                <w:lang w:bidi="ar"/>
              </w:rPr>
              <w:t xml:space="preserve">7.00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kern w:val="0"/>
                <w:sz w:val="20"/>
                <w:szCs w:val="20"/>
                <w:lang w:bidi="ar"/>
              </w:rPr>
              <w:t>87.50%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kern w:val="0"/>
                <w:sz w:val="20"/>
                <w:szCs w:val="20"/>
                <w:lang w:bidi="ar"/>
              </w:rPr>
            </w:pPr>
            <w:r>
              <w:rPr>
                <w:sz w:val="20"/>
                <w:szCs w:val="20"/>
              </w:rPr>
              <w:t>该项目实施单位提供的资料没有具体反映出是否积极组织农户机具投档，补贴机具选定过程是否公平合理，该部分资料未统一收集进行存档，根据评分标准，扣除1.00分。</w:t>
            </w:r>
          </w:p>
        </w:tc>
      </w:tr>
      <w:tr>
        <w:tblPrEx>
          <w:tblCellMar>
            <w:top w:w="0" w:type="dxa"/>
            <w:left w:w="51" w:type="dxa"/>
            <w:bottom w:w="0" w:type="dxa"/>
            <w:right w:w="51" w:type="dxa"/>
          </w:tblCellMar>
        </w:tblPrEx>
        <w:trPr>
          <w:trHeight w:val="283" w:hRule="atLeast"/>
        </w:trPr>
        <w:tc>
          <w:tcPr>
            <w:tcW w:w="27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b/>
                <w:bCs/>
                <w:sz w:val="20"/>
                <w:szCs w:val="20"/>
              </w:rPr>
            </w:pPr>
            <w:r>
              <w:rPr>
                <w:rFonts w:hint="eastAsia" w:asciiTheme="minorEastAsia" w:hAnsiTheme="minorEastAsia" w:cstheme="minorEastAsia"/>
                <w:b/>
                <w:bCs/>
                <w:kern w:val="0"/>
                <w:sz w:val="20"/>
                <w:szCs w:val="20"/>
                <w:lang w:bidi="ar"/>
              </w:rPr>
              <w:t>小计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Theme="minorEastAsia" w:hAnsiTheme="minorEastAsia" w:cstheme="minorEastAsia"/>
                <w:b/>
                <w:bCs/>
                <w:sz w:val="20"/>
                <w:szCs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Theme="minorEastAsia" w:hAnsiTheme="minorEastAsia" w:cstheme="minorEastAsia"/>
                <w:b/>
                <w:bCs/>
                <w:sz w:val="20"/>
                <w:szCs w:val="20"/>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 xml:space="preserve">25.00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 xml:space="preserve">24.00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sz w:val="20"/>
                <w:szCs w:val="20"/>
              </w:rPr>
            </w:pPr>
            <w:r>
              <w:rPr>
                <w:rFonts w:eastAsia="宋体"/>
                <w:b/>
                <w:bCs/>
                <w:kern w:val="0"/>
                <w:sz w:val="20"/>
                <w:szCs w:val="20"/>
                <w:lang w:bidi="ar"/>
              </w:rPr>
              <w:t>96.00%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kern w:val="0"/>
                <w:sz w:val="20"/>
                <w:szCs w:val="20"/>
                <w:lang w:bidi="ar"/>
              </w:rPr>
            </w:pPr>
          </w:p>
        </w:tc>
      </w:tr>
      <w:tr>
        <w:tblPrEx>
          <w:tblCellMar>
            <w:top w:w="0" w:type="dxa"/>
            <w:left w:w="51" w:type="dxa"/>
            <w:bottom w:w="0" w:type="dxa"/>
            <w:right w:w="51" w:type="dxa"/>
          </w:tblCellMar>
        </w:tblPrEx>
        <w:trPr>
          <w:trHeight w:val="1243"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C产出</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（35.00分）</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C1产出数量（16.00分）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C11补贴农业动力机械数量</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项目实施的实际产出数与计划产出数的比率，用以反映和考核项目产出数量目标的实现程度。</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①实际完成值大于等于年度指标值，且偏离程度小于20%，得满分；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②实际完成值大于等于年度指标值，偏离程度大于等于20%，得0分；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③实际完成值小于年度指标值，得分=实际完成值/年度指标值×分值。</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rFonts w:hint="eastAsia"/>
                <w:kern w:val="0"/>
                <w:sz w:val="20"/>
                <w:szCs w:val="20"/>
                <w:lang w:eastAsia="zh-CN" w:bidi="ar"/>
              </w:rPr>
              <w:t>≥</w:t>
            </w:r>
            <w:r>
              <w:rPr>
                <w:kern w:val="0"/>
                <w:sz w:val="20"/>
                <w:szCs w:val="20"/>
                <w:lang w:bidi="ar"/>
              </w:rPr>
              <w:t>920台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920台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8.00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8.00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51" w:type="dxa"/>
            <w:bottom w:w="0" w:type="dxa"/>
            <w:right w:w="51" w:type="dxa"/>
          </w:tblCellMar>
        </w:tblPrEx>
        <w:trPr>
          <w:trHeight w:val="195"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Theme="minorEastAsia" w:hAnsiTheme="minorEastAsia" w:cstheme="minor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C12补贴配套机具数量</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项目实施的实际产出数与计划产出数的比率，用以反映和考核项目产出数量目标的实现程度。</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①实际完成值大于等于年度指标值，且偏离程度小于20%，得满分；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②实际完成值大于等于年度指标值，偏离程度大于等于20%，得0分；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③实际完成值小于年度指标值，得分=实际完成值/年度指标值×分值。</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rFonts w:hint="eastAsia"/>
                <w:kern w:val="0"/>
                <w:sz w:val="20"/>
                <w:szCs w:val="20"/>
                <w:lang w:eastAsia="zh-CN" w:bidi="ar"/>
              </w:rPr>
              <w:t>≥</w:t>
            </w:r>
            <w:r>
              <w:rPr>
                <w:kern w:val="0"/>
                <w:sz w:val="20"/>
                <w:szCs w:val="20"/>
                <w:lang w:bidi="ar"/>
              </w:rPr>
              <w:t>565台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565台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5.00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5.00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51" w:type="dxa"/>
            <w:bottom w:w="0" w:type="dxa"/>
            <w:right w:w="51" w:type="dxa"/>
          </w:tblCellMar>
        </w:tblPrEx>
        <w:trPr>
          <w:trHeight w:val="1243"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Theme="minorEastAsia" w:hAnsiTheme="minorEastAsia" w:cstheme="minor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C13补开展农机购置与应用补贴试点数量</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项目实施的实际产出数与计划产出数的比率，用以反映和考核项目产出数量目标的实现程度。</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①实际完成值大于等于年度指标值，且偏离程度小于20%，得满分；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②实际完成值大于等于年度指标值，偏离程度大于等于20%，得0分；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③实际完成值小于年度指标值，得分=实际完成值/年度指标值×分值。</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rFonts w:hint="eastAsia"/>
                <w:kern w:val="0"/>
                <w:sz w:val="20"/>
                <w:szCs w:val="20"/>
                <w:lang w:eastAsia="zh-CN" w:bidi="ar"/>
              </w:rPr>
              <w:t>≥</w:t>
            </w:r>
            <w:r>
              <w:rPr>
                <w:kern w:val="0"/>
                <w:sz w:val="20"/>
                <w:szCs w:val="20"/>
                <w:lang w:bidi="ar"/>
              </w:rPr>
              <w:t>1个</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1个</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3.00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3.00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51" w:type="dxa"/>
            <w:bottom w:w="0" w:type="dxa"/>
            <w:right w:w="51" w:type="dxa"/>
          </w:tblCellMar>
        </w:tblPrEx>
        <w:trPr>
          <w:trHeight w:val="1243"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C2产出质量（3.00分）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C21补贴标准达标率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项目完成的质量达标产出数与实际产出数的比率，用以反映和考核项目产出质量目标的实现程度。</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实际完成率=实际补贴标准达标率/计划补贴标准达标率×100%。</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实际完成率符合预期指标值得满分；预期指标未完成，且实际完成率大于60%的，按超过的比重赋分，计算公式为：得分=（实际完成率-60%）/（1-60%）×指标分值；完成率小于60%为不及格，不得分。</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3.00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3.00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51" w:type="dxa"/>
            <w:bottom w:w="0" w:type="dxa"/>
            <w:right w:w="51" w:type="dxa"/>
          </w:tblCellMar>
        </w:tblPrEx>
        <w:trPr>
          <w:trHeight w:val="1243"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C3产出时效（6.00分）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C31资金支付及时率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项目实际完成时间与计划完成时间的比较，用以反映和考核项目产出时效目标的实现程度。</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实际完成率=实际时间内支付金额/计划时间内支付金额×100%</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实际完成率符合预期指标值得满分；预期指标未完成，且实际完成率大于60%的，按超过的比重赋分，计算公式为：得分=（实际完成率-60%）/（1-60%）×指标分值；完成率小于60%为不及格，不得分。</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sz w:val="20"/>
                <w:szCs w:val="20"/>
              </w:rPr>
            </w:pPr>
            <w:r>
              <w:rPr>
                <w:kern w:val="0"/>
                <w:sz w:val="20"/>
                <w:szCs w:val="20"/>
                <w:lang w:bidi="ar"/>
              </w:rPr>
              <w:t>99.83%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3.00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2.99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99.67%</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r>
              <w:rPr>
                <w:sz w:val="20"/>
                <w:szCs w:val="20"/>
              </w:rPr>
              <w:t>该项目预计于2022年12月前完成5</w:t>
            </w:r>
            <w:r>
              <w:rPr>
                <w:rFonts w:hint="eastAsia"/>
                <w:sz w:val="20"/>
                <w:szCs w:val="20"/>
                <w:lang w:eastAsia="zh-CN"/>
              </w:rPr>
              <w:t>，</w:t>
            </w:r>
            <w:r>
              <w:rPr>
                <w:sz w:val="20"/>
                <w:szCs w:val="20"/>
              </w:rPr>
              <w:t>412.00万元补贴资金的发放，实际完成5</w:t>
            </w:r>
            <w:r>
              <w:rPr>
                <w:rFonts w:hint="eastAsia"/>
                <w:sz w:val="20"/>
                <w:szCs w:val="20"/>
                <w:lang w:eastAsia="zh-CN"/>
              </w:rPr>
              <w:t>，</w:t>
            </w:r>
            <w:r>
              <w:rPr>
                <w:sz w:val="20"/>
                <w:szCs w:val="20"/>
              </w:rPr>
              <w:t>402.91万元补贴资金的发放，</w:t>
            </w:r>
            <w:r>
              <w:rPr>
                <w:rFonts w:hint="eastAsia"/>
                <w:sz w:val="20"/>
                <w:szCs w:val="20"/>
              </w:rPr>
              <w:t>与预期指标存在偏差，根据评分标准扣0.01分。</w:t>
            </w:r>
          </w:p>
        </w:tc>
      </w:tr>
      <w:tr>
        <w:tblPrEx>
          <w:tblCellMar>
            <w:top w:w="0" w:type="dxa"/>
            <w:left w:w="51" w:type="dxa"/>
            <w:bottom w:w="0" w:type="dxa"/>
            <w:right w:w="51" w:type="dxa"/>
          </w:tblCellMar>
        </w:tblPrEx>
        <w:trPr>
          <w:trHeight w:val="1243"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Theme="minorEastAsia" w:hAnsiTheme="minorEastAsia" w:cstheme="minor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C32项目完成时间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项目实际完成时间与计划完成时间的比较，用以反映和考核项目产出时效目标的实现程度。</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①在实际核查过程中购置建设项目审批管理系统均在2021年3月底前完成的，得满分；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②否则发现购置建设项目审批管理系统不在2021年3月底前完成的，得分=（1-未完成购置建设项目审批管理系统数/实际购置建设项目审批管理系统总数）×分值。</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2022年12月底前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2022年12月</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3.00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3.00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51" w:type="dxa"/>
            <w:bottom w:w="0" w:type="dxa"/>
            <w:right w:w="51" w:type="dxa"/>
          </w:tblCellMar>
        </w:tblPrEx>
        <w:trPr>
          <w:trHeight w:val="1243"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C4产出成本（10.00分）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C41补贴农业机械动力机械费用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完成项目计划工作目标的实际节约成本与计划成本的比率，用以反映和考核项目的成本节约程度。</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实际完成值=（实际支付资金数/计划应支付资金数）×100%。</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①实际完成值大于年度指标值，得0得分；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②实际完成值小于等于年度指标值，且偏离程度小于20%，得满分；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③实际完成值小于年度指标值，且偏离程度大于等于20%，得0得分。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≤5</w:t>
            </w:r>
            <w:r>
              <w:rPr>
                <w:rFonts w:hint="eastAsia"/>
                <w:kern w:val="0"/>
                <w:sz w:val="20"/>
                <w:szCs w:val="20"/>
                <w:lang w:eastAsia="zh-CN" w:bidi="ar"/>
              </w:rPr>
              <w:t>，</w:t>
            </w:r>
            <w:r>
              <w:rPr>
                <w:kern w:val="0"/>
                <w:sz w:val="20"/>
                <w:szCs w:val="20"/>
                <w:lang w:bidi="ar"/>
              </w:rPr>
              <w:t>065.00万元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5</w:t>
            </w:r>
            <w:r>
              <w:rPr>
                <w:rFonts w:hint="eastAsia"/>
                <w:kern w:val="0"/>
                <w:sz w:val="20"/>
                <w:szCs w:val="20"/>
                <w:lang w:eastAsia="zh-CN" w:bidi="ar"/>
              </w:rPr>
              <w:t>，</w:t>
            </w:r>
            <w:r>
              <w:rPr>
                <w:kern w:val="0"/>
                <w:sz w:val="20"/>
                <w:szCs w:val="20"/>
                <w:lang w:bidi="ar"/>
              </w:rPr>
              <w:t>056.13万元</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8.00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8.00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51" w:type="dxa"/>
            <w:bottom w:w="0" w:type="dxa"/>
            <w:right w:w="51" w:type="dxa"/>
          </w:tblCellMar>
        </w:tblPrEx>
        <w:trPr>
          <w:trHeight w:val="1243"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Theme="minorEastAsia" w:hAnsiTheme="minorEastAsia" w:cstheme="minor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C42补贴配套机具费用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完成项目计划工作目标的实际节约成本与计划成本的比率，用以反映和考核项目的成本节约程度。</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实际完成值=（实际支付资金数/计划应支付资金数）×100%。</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①实际完成值大于年度指标值，得0得分；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②实际完成值小于等于年度指标值，且偏离程度小于20%，得满分；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③实际完成值小于年度指标值，且偏离程度大于等于20%，得0得分。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≤347.00万元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346.77万元</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2.00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2.00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51" w:type="dxa"/>
            <w:bottom w:w="0" w:type="dxa"/>
            <w:right w:w="51" w:type="dxa"/>
          </w:tblCellMar>
        </w:tblPrEx>
        <w:trPr>
          <w:trHeight w:val="283" w:hRule="atLeast"/>
        </w:trPr>
        <w:tc>
          <w:tcPr>
            <w:tcW w:w="27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b/>
                <w:bCs/>
                <w:sz w:val="20"/>
                <w:szCs w:val="20"/>
              </w:rPr>
            </w:pPr>
            <w:r>
              <w:rPr>
                <w:rFonts w:hint="eastAsia" w:asciiTheme="minorEastAsia" w:hAnsiTheme="minorEastAsia" w:cstheme="minorEastAsia"/>
                <w:b/>
                <w:bCs/>
                <w:kern w:val="0"/>
                <w:sz w:val="20"/>
                <w:szCs w:val="20"/>
                <w:lang w:bidi="ar"/>
              </w:rPr>
              <w:t>小计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Theme="minorEastAsia" w:hAnsiTheme="minorEastAsia" w:cstheme="minorEastAsia"/>
                <w:b/>
                <w:bCs/>
                <w:sz w:val="20"/>
                <w:szCs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Theme="minorEastAsia" w:hAnsiTheme="minorEastAsia" w:cstheme="minorEastAsia"/>
                <w:b/>
                <w:bCs/>
                <w:sz w:val="20"/>
                <w:szCs w:val="20"/>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 xml:space="preserve">35.00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 xml:space="preserve">34.99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sz w:val="20"/>
                <w:szCs w:val="20"/>
              </w:rPr>
            </w:pPr>
            <w:r>
              <w:rPr>
                <w:b/>
                <w:bCs/>
                <w:kern w:val="0"/>
                <w:sz w:val="20"/>
                <w:szCs w:val="20"/>
                <w:lang w:bidi="ar"/>
              </w:rPr>
              <w:t>99.97%</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b/>
                <w:bCs/>
                <w:kern w:val="0"/>
                <w:sz w:val="20"/>
                <w:szCs w:val="20"/>
                <w:lang w:bidi="ar"/>
              </w:rPr>
            </w:pPr>
          </w:p>
        </w:tc>
      </w:tr>
      <w:tr>
        <w:tblPrEx>
          <w:tblCellMar>
            <w:top w:w="0" w:type="dxa"/>
            <w:left w:w="51" w:type="dxa"/>
            <w:bottom w:w="0" w:type="dxa"/>
            <w:right w:w="51" w:type="dxa"/>
          </w:tblCellMar>
        </w:tblPrEx>
        <w:trPr>
          <w:trHeight w:val="2237"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D效益</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（30.00分）</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D1社会效益指标（10.00分）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D11提高农业机械化生产和社会化服务水平</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项目实施所产生的社会影响是否完全达到提高公共服务的效益目标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根据问卷调查情况进行评分，指标完成率=∑样本数（</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有效提高</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×1.0+</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有所提高</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×0.8+</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一般</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×0.6+</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提高效果较小</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×0.3+</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无效果</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×0）/总样本数×100.00%，实际完成值分为基本达成目标、部分实现目标、实现目标程度较低三个档次</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并分别按照该指标对应分值区间 100.00%-80.00%(含)、80.00%-60.00%（含)、60.00%-0.00%合理确定分值。</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①指标完成率在100.00%-80.00%之间，得满分；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②指标完成率在80.00%-60.00%之间，得分=指标完成率×标杆分值；</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③指标完成率小于60.00%为不及格，不得分。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有效提高</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基本达成目标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10.00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10.00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51" w:type="dxa"/>
            <w:bottom w:w="0" w:type="dxa"/>
            <w:right w:w="51" w:type="dxa"/>
          </w:tblCellMar>
        </w:tblPrEx>
        <w:trPr>
          <w:trHeight w:val="2237"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heme="minorEastAsia" w:hAnsiTheme="minorEastAsia" w:cstheme="minorEastAsia"/>
                <w:sz w:val="20"/>
                <w:szCs w:val="20"/>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D2可持续影响指标（10.00分）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D21促进农机科技进步</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项目实施所产生的可持续影响是否完全达到提高公共服务的效益目标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根据问卷调查情况进行评分，指标完成率=∑样本数（</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有效促进</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×1.0+</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有所促进</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×0.8+</w:t>
            </w:r>
            <w:r>
              <w:rPr>
                <w:rFonts w:hint="eastAsia" w:asciiTheme="minorEastAsia" w:hAnsiTheme="minorEastAsia" w:cstheme="minorEastAsia"/>
                <w:kern w:val="0"/>
                <w:sz w:val="20"/>
                <w:szCs w:val="20"/>
                <w:lang w:eastAsia="zh-CN" w:bidi="ar"/>
              </w:rPr>
              <w:t>“一般”</w:t>
            </w:r>
            <w:r>
              <w:rPr>
                <w:rFonts w:hint="eastAsia" w:asciiTheme="minorEastAsia" w:hAnsiTheme="minorEastAsia" w:cstheme="minorEastAsia"/>
                <w:kern w:val="0"/>
                <w:sz w:val="20"/>
                <w:szCs w:val="20"/>
                <w:lang w:bidi="ar"/>
              </w:rPr>
              <w:t>×0.6+</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促进效果较小</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×0.3+</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无效果</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×0）/总样本数×100.00%，实际完成值分为基本达成目标、部分实现目标、实现目标程度较低三个档次</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并分别按照该指标对应分值区间 100.00%-80.00%(含)、80.00%-60.00%（含)、60.00%-0.00%合理确定分值。</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①指标完成率在100.00%-80.00%之间，得满分；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②指标完成率在80.00%-60.00%之间，得分=指标完成率×标杆分值；</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③指标完成率小于60.00%为不及格，不得分。</w:t>
            </w:r>
          </w:p>
        </w:tc>
        <w:tc>
          <w:tcPr>
            <w:tcW w:w="372"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持续促进</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基本达成目标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10.00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10.00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51" w:type="dxa"/>
            <w:bottom w:w="0" w:type="dxa"/>
            <w:right w:w="51" w:type="dxa"/>
          </w:tblCellMar>
        </w:tblPrEx>
        <w:trPr>
          <w:trHeight w:val="174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sz w:val="20"/>
                <w:szCs w:val="20"/>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D3服务对象满意度指标（10.00分）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D31受益农户满意度</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社会公众或服务对象对项目实施效果的满意程度。</w:t>
            </w:r>
          </w:p>
        </w:tc>
        <w:tc>
          <w:tcPr>
            <w:tcW w:w="13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lang w:bidi="ar"/>
              </w:rPr>
              <w:t>据满意度问卷统计情况计算完成比率，指标完成率=∑样本数（</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非常满意</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×1.0+</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比较满意</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×0.8+</w:t>
            </w:r>
            <w:r>
              <w:rPr>
                <w:rFonts w:hint="eastAsia" w:asciiTheme="minorEastAsia" w:hAnsiTheme="minorEastAsia" w:cstheme="minorEastAsia"/>
                <w:kern w:val="0"/>
                <w:sz w:val="20"/>
                <w:szCs w:val="20"/>
                <w:lang w:eastAsia="zh-CN" w:bidi="ar"/>
              </w:rPr>
              <w:t>“一般”</w:t>
            </w:r>
            <w:r>
              <w:rPr>
                <w:rFonts w:hint="eastAsia" w:asciiTheme="minorEastAsia" w:hAnsiTheme="minorEastAsia" w:cstheme="minorEastAsia"/>
                <w:kern w:val="0"/>
                <w:sz w:val="20"/>
                <w:szCs w:val="20"/>
                <w:lang w:bidi="ar"/>
              </w:rPr>
              <w:t>×0.6+</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较不满意</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×0.3+</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不满意</w:t>
            </w:r>
            <w:r>
              <w:rPr>
                <w:rFonts w:hint="eastAsia" w:asciiTheme="minorEastAsia" w:hAnsiTheme="minorEastAsia" w:cstheme="minorEastAsia"/>
                <w:kern w:val="0"/>
                <w:sz w:val="20"/>
                <w:szCs w:val="20"/>
                <w:lang w:eastAsia="zh-CN" w:bidi="ar"/>
              </w:rPr>
              <w:t>”</w:t>
            </w:r>
            <w:r>
              <w:rPr>
                <w:rFonts w:hint="eastAsia" w:asciiTheme="minorEastAsia" w:hAnsiTheme="minorEastAsia" w:cstheme="minorEastAsia"/>
                <w:kern w:val="0"/>
                <w:sz w:val="20"/>
                <w:szCs w:val="20"/>
                <w:lang w:bidi="ar"/>
              </w:rPr>
              <w:t>×0）/总样本数×100.00%。</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①实际完成值大于等于95.00%，得10.00分；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②实际完成值小于95.00%且大于等于80.00%，得8.00分；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③实际完成值小于80.00%大于等于60.00%，得5.00分。</w:t>
            </w:r>
            <w:r>
              <w:rPr>
                <w:rFonts w:hint="eastAsia" w:asciiTheme="minorEastAsia" w:hAnsiTheme="minorEastAsia" w:cstheme="minorEastAsia"/>
                <w:kern w:val="0"/>
                <w:sz w:val="20"/>
                <w:szCs w:val="20"/>
                <w:lang w:bidi="ar"/>
              </w:rPr>
              <w:br w:type="textWrapping"/>
            </w:r>
            <w:r>
              <w:rPr>
                <w:rFonts w:hint="eastAsia" w:asciiTheme="minorEastAsia" w:hAnsiTheme="minorEastAsia" w:cstheme="minorEastAsia"/>
                <w:kern w:val="0"/>
                <w:sz w:val="20"/>
                <w:szCs w:val="20"/>
                <w:lang w:bidi="ar"/>
              </w:rPr>
              <w:t>④实际完成值小于60.00%，不得分。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rFonts w:hint="eastAsia"/>
                <w:kern w:val="0"/>
                <w:sz w:val="20"/>
                <w:szCs w:val="20"/>
                <w:lang w:eastAsia="zh-CN" w:bidi="ar"/>
              </w:rPr>
              <w:t>≥</w:t>
            </w:r>
            <w:r>
              <w:rPr>
                <w:kern w:val="0"/>
                <w:sz w:val="20"/>
                <w:szCs w:val="20"/>
                <w:lang w:bidi="ar"/>
              </w:rPr>
              <w:t>95.00%</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sz w:val="20"/>
                <w:szCs w:val="20"/>
              </w:rPr>
            </w:pPr>
            <w:r>
              <w:rPr>
                <w:kern w:val="0"/>
                <w:sz w:val="20"/>
                <w:szCs w:val="20"/>
                <w:lang w:bidi="ar"/>
              </w:rPr>
              <w:t>96.00%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10.00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 xml:space="preserve">10.00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sz w:val="20"/>
                <w:szCs w:val="20"/>
              </w:rPr>
            </w:pPr>
            <w:r>
              <w:rPr>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kern w:val="0"/>
                <w:sz w:val="20"/>
                <w:szCs w:val="20"/>
                <w:lang w:bidi="ar"/>
              </w:rPr>
            </w:pPr>
          </w:p>
        </w:tc>
      </w:tr>
      <w:tr>
        <w:tblPrEx>
          <w:tblCellMar>
            <w:top w:w="0" w:type="dxa"/>
            <w:left w:w="51" w:type="dxa"/>
            <w:bottom w:w="0" w:type="dxa"/>
            <w:right w:w="51" w:type="dxa"/>
          </w:tblCellMar>
        </w:tblPrEx>
        <w:trPr>
          <w:trHeight w:val="282" w:hRule="atLeast"/>
        </w:trPr>
        <w:tc>
          <w:tcPr>
            <w:tcW w:w="27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小计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eastAsia="宋体"/>
                <w:b/>
                <w:bCs/>
                <w:sz w:val="20"/>
                <w:szCs w:val="20"/>
              </w:rPr>
            </w:pPr>
          </w:p>
        </w:tc>
        <w:tc>
          <w:tcPr>
            <w:tcW w:w="362" w:type="pct"/>
            <w:tcBorders>
              <w:top w:val="single" w:color="000000" w:sz="4" w:space="0"/>
              <w:left w:val="nil"/>
              <w:bottom w:val="single" w:color="000000" w:sz="4" w:space="0"/>
              <w:right w:val="single" w:color="000000" w:sz="4" w:space="0"/>
            </w:tcBorders>
            <w:shd w:val="clear" w:color="auto" w:fill="auto"/>
            <w:noWrap/>
            <w:vAlign w:val="center"/>
          </w:tcPr>
          <w:p>
            <w:pPr>
              <w:ind w:firstLine="402"/>
              <w:jc w:val="center"/>
              <w:rPr>
                <w:rFonts w:eastAsia="宋体"/>
                <w:b/>
                <w:bCs/>
                <w:sz w:val="20"/>
                <w:szCs w:val="20"/>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 xml:space="preserve">30.00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 xml:space="preserve">30.00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100.00%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kern w:val="0"/>
                <w:sz w:val="20"/>
                <w:szCs w:val="20"/>
                <w:lang w:bidi="ar"/>
              </w:rPr>
            </w:pPr>
          </w:p>
        </w:tc>
      </w:tr>
      <w:tr>
        <w:tblPrEx>
          <w:tblCellMar>
            <w:top w:w="0" w:type="dxa"/>
            <w:left w:w="51" w:type="dxa"/>
            <w:bottom w:w="0" w:type="dxa"/>
            <w:right w:w="51" w:type="dxa"/>
          </w:tblCellMar>
        </w:tblPrEx>
        <w:trPr>
          <w:trHeight w:val="282" w:hRule="atLeast"/>
        </w:trPr>
        <w:tc>
          <w:tcPr>
            <w:tcW w:w="27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合计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eastAsia="宋体"/>
                <w:b/>
                <w:bCs/>
                <w:sz w:val="20"/>
                <w:szCs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eastAsia="宋体"/>
                <w:b/>
                <w:bCs/>
                <w:sz w:val="20"/>
                <w:szCs w:val="20"/>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 xml:space="preserve">100.00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 xml:space="preserve">98.59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sz w:val="20"/>
                <w:szCs w:val="20"/>
              </w:rPr>
            </w:pPr>
            <w:r>
              <w:rPr>
                <w:rFonts w:eastAsia="宋体"/>
                <w:b/>
                <w:bCs/>
                <w:kern w:val="0"/>
                <w:sz w:val="20"/>
                <w:szCs w:val="20"/>
                <w:lang w:bidi="ar"/>
              </w:rPr>
              <w:t>98.59%</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b/>
                <w:bCs/>
                <w:kern w:val="0"/>
                <w:sz w:val="20"/>
                <w:szCs w:val="20"/>
                <w:lang w:bidi="ar"/>
              </w:rPr>
            </w:pPr>
          </w:p>
        </w:tc>
      </w:tr>
    </w:tbl>
    <w:p>
      <w:pPr>
        <w:ind w:firstLine="420"/>
        <w:sectPr>
          <w:footerReference r:id="rId9" w:type="default"/>
          <w:pgSz w:w="16838" w:h="11906" w:orient="landscape"/>
          <w:pgMar w:top="1800" w:right="1440" w:bottom="1800" w:left="1440" w:header="851" w:footer="907" w:gutter="0"/>
          <w:cols w:space="425" w:num="1"/>
          <w:docGrid w:type="lines" w:linePitch="312" w:charSpace="0"/>
        </w:sectPr>
      </w:pPr>
    </w:p>
    <w:p>
      <w:pPr>
        <w:pStyle w:val="5"/>
        <w:ind w:firstLine="0" w:firstLineChars="0"/>
        <w:rPr>
          <w:rFonts w:ascii="Times New Roman" w:hAnsi="Times New Roman"/>
        </w:rPr>
      </w:pPr>
      <w:bookmarkStart w:id="90" w:name="_Toc21815"/>
      <w:bookmarkStart w:id="91" w:name="_Toc25777"/>
      <w:bookmarkStart w:id="92" w:name="_Toc12265"/>
      <w:bookmarkStart w:id="93" w:name="_Toc6006"/>
      <w:r>
        <w:rPr>
          <w:rFonts w:ascii="Times New Roman" w:hAnsi="Times New Roman"/>
        </w:rPr>
        <w:t>附件2：基础表</w:t>
      </w:r>
      <w:bookmarkEnd w:id="90"/>
      <w:bookmarkEnd w:id="91"/>
      <w:bookmarkEnd w:id="92"/>
      <w:bookmarkEnd w:id="93"/>
    </w:p>
    <w:tbl>
      <w:tblPr>
        <w:tblStyle w:val="20"/>
        <w:tblW w:w="5000" w:type="pct"/>
        <w:tblInd w:w="0" w:type="dxa"/>
        <w:tblLayout w:type="fixed"/>
        <w:tblCellMar>
          <w:top w:w="0" w:type="dxa"/>
          <w:left w:w="108" w:type="dxa"/>
          <w:bottom w:w="0" w:type="dxa"/>
          <w:right w:w="108" w:type="dxa"/>
        </w:tblCellMar>
      </w:tblPr>
      <w:tblGrid>
        <w:gridCol w:w="1527"/>
        <w:gridCol w:w="1740"/>
        <w:gridCol w:w="1950"/>
        <w:gridCol w:w="1699"/>
        <w:gridCol w:w="1606"/>
      </w:tblGrid>
      <w:tr>
        <w:tblPrEx>
          <w:tblCellMar>
            <w:top w:w="0" w:type="dxa"/>
            <w:left w:w="108" w:type="dxa"/>
            <w:bottom w:w="0" w:type="dxa"/>
            <w:right w:w="108" w:type="dxa"/>
          </w:tblCellMar>
        </w:tblPrEx>
        <w:trPr>
          <w:trHeight w:val="282" w:hRule="atLeast"/>
        </w:trPr>
        <w:tc>
          <w:tcPr>
            <w:tcW w:w="5000" w:type="pct"/>
            <w:gridSpan w:val="5"/>
            <w:tcBorders>
              <w:top w:val="nil"/>
              <w:left w:val="nil"/>
              <w:bottom w:val="nil"/>
              <w:right w:val="nil"/>
            </w:tcBorders>
            <w:shd w:val="clear" w:color="auto" w:fill="auto"/>
            <w:noWrap/>
            <w:vAlign w:val="center"/>
          </w:tcPr>
          <w:p>
            <w:pPr>
              <w:widowControl/>
              <w:ind w:firstLine="0" w:firstLineChars="0"/>
              <w:jc w:val="center"/>
              <w:textAlignment w:val="center"/>
              <w:rPr>
                <w:rFonts w:eastAsia="宋体"/>
                <w:b/>
                <w:bCs/>
                <w:sz w:val="22"/>
                <w:szCs w:val="22"/>
              </w:rPr>
            </w:pPr>
            <w:r>
              <w:rPr>
                <w:rFonts w:eastAsia="宋体"/>
                <w:b/>
                <w:bCs/>
                <w:kern w:val="0"/>
                <w:sz w:val="22"/>
                <w:szCs w:val="22"/>
                <w:lang w:bidi="ar"/>
              </w:rPr>
              <w:t>基础表1：2022年农业机械购置补贴项目预算支出明细表</w:t>
            </w:r>
          </w:p>
        </w:tc>
      </w:tr>
      <w:tr>
        <w:tblPrEx>
          <w:tblCellMar>
            <w:top w:w="0" w:type="dxa"/>
            <w:left w:w="108" w:type="dxa"/>
            <w:bottom w:w="0" w:type="dxa"/>
            <w:right w:w="108" w:type="dxa"/>
          </w:tblCellMar>
        </w:tblPrEx>
        <w:trPr>
          <w:trHeight w:val="282" w:hRule="atLeast"/>
        </w:trPr>
        <w:tc>
          <w:tcPr>
            <w:tcW w:w="896" w:type="pct"/>
            <w:tcBorders>
              <w:top w:val="nil"/>
              <w:left w:val="nil"/>
              <w:bottom w:val="nil"/>
              <w:right w:val="nil"/>
            </w:tcBorders>
            <w:shd w:val="clear" w:color="auto" w:fill="auto"/>
            <w:noWrap/>
            <w:vAlign w:val="center"/>
          </w:tcPr>
          <w:p>
            <w:pPr>
              <w:ind w:firstLine="442"/>
              <w:rPr>
                <w:rFonts w:eastAsia="宋体"/>
                <w:b/>
                <w:bCs/>
                <w:sz w:val="22"/>
                <w:szCs w:val="22"/>
              </w:rPr>
            </w:pPr>
          </w:p>
        </w:tc>
        <w:tc>
          <w:tcPr>
            <w:tcW w:w="1021" w:type="pct"/>
            <w:tcBorders>
              <w:top w:val="nil"/>
              <w:left w:val="nil"/>
              <w:bottom w:val="nil"/>
              <w:right w:val="nil"/>
            </w:tcBorders>
            <w:shd w:val="clear" w:color="auto" w:fill="auto"/>
            <w:noWrap/>
            <w:vAlign w:val="center"/>
          </w:tcPr>
          <w:p>
            <w:pPr>
              <w:ind w:firstLine="442"/>
              <w:rPr>
                <w:rFonts w:eastAsia="宋体"/>
                <w:b/>
                <w:bCs/>
                <w:sz w:val="22"/>
                <w:szCs w:val="22"/>
              </w:rPr>
            </w:pPr>
          </w:p>
        </w:tc>
        <w:tc>
          <w:tcPr>
            <w:tcW w:w="1144" w:type="pct"/>
            <w:tcBorders>
              <w:top w:val="nil"/>
              <w:left w:val="nil"/>
              <w:bottom w:val="nil"/>
              <w:right w:val="nil"/>
            </w:tcBorders>
            <w:shd w:val="clear" w:color="auto" w:fill="auto"/>
            <w:noWrap/>
            <w:vAlign w:val="center"/>
          </w:tcPr>
          <w:p>
            <w:pPr>
              <w:ind w:firstLine="442"/>
              <w:rPr>
                <w:rFonts w:eastAsia="宋体"/>
                <w:b/>
                <w:bCs/>
                <w:sz w:val="22"/>
                <w:szCs w:val="22"/>
              </w:rPr>
            </w:pPr>
          </w:p>
        </w:tc>
        <w:tc>
          <w:tcPr>
            <w:tcW w:w="997" w:type="pct"/>
            <w:tcBorders>
              <w:top w:val="nil"/>
              <w:left w:val="nil"/>
              <w:bottom w:val="nil"/>
              <w:right w:val="nil"/>
            </w:tcBorders>
            <w:shd w:val="clear" w:color="auto" w:fill="auto"/>
            <w:noWrap/>
            <w:vAlign w:val="center"/>
          </w:tcPr>
          <w:p>
            <w:pPr>
              <w:ind w:firstLine="442"/>
              <w:rPr>
                <w:rFonts w:eastAsia="宋体"/>
                <w:b/>
                <w:bCs/>
                <w:sz w:val="22"/>
                <w:szCs w:val="22"/>
              </w:rPr>
            </w:pPr>
          </w:p>
        </w:tc>
        <w:tc>
          <w:tcPr>
            <w:tcW w:w="940" w:type="pct"/>
            <w:tcBorders>
              <w:top w:val="nil"/>
              <w:left w:val="nil"/>
              <w:bottom w:val="nil"/>
              <w:right w:val="nil"/>
            </w:tcBorders>
            <w:shd w:val="clear" w:color="auto" w:fill="auto"/>
            <w:noWrap/>
            <w:vAlign w:val="center"/>
          </w:tcPr>
          <w:p>
            <w:pPr>
              <w:widowControl/>
              <w:ind w:firstLine="0" w:firstLineChars="0"/>
              <w:jc w:val="right"/>
              <w:textAlignment w:val="center"/>
              <w:rPr>
                <w:rFonts w:eastAsia="宋体"/>
                <w:b/>
                <w:bCs/>
                <w:sz w:val="22"/>
                <w:szCs w:val="22"/>
              </w:rPr>
            </w:pPr>
            <w:r>
              <w:rPr>
                <w:rFonts w:eastAsia="宋体"/>
                <w:b/>
                <w:bCs/>
                <w:kern w:val="0"/>
                <w:sz w:val="22"/>
                <w:szCs w:val="22"/>
                <w:lang w:bidi="ar"/>
              </w:rPr>
              <w:t>单位：万元</w:t>
            </w:r>
          </w:p>
        </w:tc>
      </w:tr>
      <w:tr>
        <w:tblPrEx>
          <w:tblCellMar>
            <w:top w:w="0" w:type="dxa"/>
            <w:left w:w="108" w:type="dxa"/>
            <w:bottom w:w="0" w:type="dxa"/>
            <w:right w:w="108" w:type="dxa"/>
          </w:tblCellMar>
        </w:tblPrEx>
        <w:trPr>
          <w:trHeight w:val="282"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b/>
                <w:bCs/>
                <w:sz w:val="20"/>
                <w:szCs w:val="20"/>
              </w:rPr>
            </w:pPr>
            <w:r>
              <w:rPr>
                <w:rFonts w:eastAsia="宋体"/>
                <w:b/>
                <w:bCs/>
                <w:kern w:val="0"/>
                <w:sz w:val="20"/>
                <w:szCs w:val="20"/>
                <w:lang w:bidi="ar"/>
              </w:rPr>
              <w:t>补助类别</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b/>
                <w:bCs/>
                <w:sz w:val="20"/>
                <w:szCs w:val="20"/>
              </w:rPr>
            </w:pPr>
            <w:r>
              <w:rPr>
                <w:rFonts w:eastAsia="宋体"/>
                <w:b/>
                <w:bCs/>
                <w:kern w:val="0"/>
                <w:sz w:val="20"/>
                <w:szCs w:val="20"/>
                <w:lang w:bidi="ar"/>
              </w:rPr>
              <w:t>计划补贴数（台）</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b/>
                <w:bCs/>
                <w:sz w:val="20"/>
                <w:szCs w:val="20"/>
              </w:rPr>
            </w:pPr>
            <w:r>
              <w:rPr>
                <w:rFonts w:eastAsia="宋体"/>
                <w:b/>
                <w:bCs/>
                <w:kern w:val="0"/>
                <w:sz w:val="20"/>
                <w:szCs w:val="20"/>
                <w:lang w:bidi="ar"/>
              </w:rPr>
              <w:t>实际补贴数（台）</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b/>
                <w:bCs/>
                <w:sz w:val="20"/>
                <w:szCs w:val="20"/>
              </w:rPr>
            </w:pPr>
            <w:r>
              <w:rPr>
                <w:rFonts w:eastAsia="宋体"/>
                <w:b/>
                <w:bCs/>
                <w:kern w:val="0"/>
                <w:sz w:val="20"/>
                <w:szCs w:val="20"/>
                <w:lang w:bidi="ar"/>
              </w:rPr>
              <w:t>申请预算金额</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b/>
                <w:bCs/>
                <w:sz w:val="20"/>
                <w:szCs w:val="20"/>
              </w:rPr>
            </w:pPr>
            <w:r>
              <w:rPr>
                <w:rFonts w:eastAsia="宋体"/>
                <w:b/>
                <w:bCs/>
                <w:kern w:val="0"/>
                <w:sz w:val="20"/>
                <w:szCs w:val="20"/>
                <w:lang w:bidi="ar"/>
              </w:rPr>
              <w:t>实际支付金额</w:t>
            </w:r>
          </w:p>
        </w:tc>
      </w:tr>
      <w:tr>
        <w:tblPrEx>
          <w:tblCellMar>
            <w:top w:w="0" w:type="dxa"/>
            <w:left w:w="108" w:type="dxa"/>
            <w:bottom w:w="0" w:type="dxa"/>
            <w:right w:w="108" w:type="dxa"/>
          </w:tblCellMar>
        </w:tblPrEx>
        <w:trPr>
          <w:trHeight w:val="282"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0"/>
                <w:szCs w:val="20"/>
              </w:rPr>
            </w:pPr>
            <w:r>
              <w:rPr>
                <w:rFonts w:eastAsia="宋体"/>
                <w:kern w:val="0"/>
                <w:sz w:val="20"/>
                <w:szCs w:val="20"/>
                <w:lang w:bidi="ar"/>
              </w:rPr>
              <w:t>农业机械动力机械补贴</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0"/>
                <w:szCs w:val="20"/>
              </w:rPr>
            </w:pPr>
            <w:r>
              <w:rPr>
                <w:rFonts w:eastAsia="宋体"/>
                <w:kern w:val="0"/>
                <w:sz w:val="20"/>
                <w:szCs w:val="20"/>
                <w:lang w:bidi="ar"/>
              </w:rPr>
              <w:t>920</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0"/>
                <w:szCs w:val="20"/>
              </w:rPr>
            </w:pPr>
            <w:r>
              <w:rPr>
                <w:rFonts w:eastAsia="宋体"/>
                <w:kern w:val="0"/>
                <w:sz w:val="20"/>
                <w:szCs w:val="20"/>
                <w:lang w:bidi="ar"/>
              </w:rPr>
              <w:t>920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eastAsia="宋体"/>
                <w:sz w:val="20"/>
                <w:szCs w:val="20"/>
              </w:rPr>
            </w:pPr>
            <w:r>
              <w:rPr>
                <w:rFonts w:eastAsia="宋体"/>
                <w:kern w:val="0"/>
                <w:sz w:val="20"/>
                <w:szCs w:val="20"/>
                <w:lang w:bidi="ar"/>
              </w:rPr>
              <w:t>5</w:t>
            </w:r>
            <w:r>
              <w:rPr>
                <w:rFonts w:hint="eastAsia" w:eastAsia="宋体"/>
                <w:kern w:val="0"/>
                <w:sz w:val="20"/>
                <w:szCs w:val="20"/>
                <w:lang w:eastAsia="zh-CN" w:bidi="ar"/>
              </w:rPr>
              <w:t>，</w:t>
            </w:r>
            <w:r>
              <w:rPr>
                <w:rFonts w:eastAsia="宋体"/>
                <w:kern w:val="0"/>
                <w:sz w:val="20"/>
                <w:szCs w:val="20"/>
                <w:lang w:bidi="ar"/>
              </w:rPr>
              <w:t xml:space="preserve">065.00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eastAsia="宋体"/>
                <w:sz w:val="20"/>
                <w:szCs w:val="20"/>
              </w:rPr>
            </w:pPr>
            <w:r>
              <w:rPr>
                <w:rFonts w:eastAsia="宋体"/>
                <w:kern w:val="0"/>
                <w:sz w:val="20"/>
                <w:szCs w:val="20"/>
                <w:lang w:bidi="ar"/>
              </w:rPr>
              <w:t>5</w:t>
            </w:r>
            <w:r>
              <w:rPr>
                <w:rFonts w:hint="eastAsia" w:eastAsia="宋体"/>
                <w:kern w:val="0"/>
                <w:sz w:val="20"/>
                <w:szCs w:val="20"/>
                <w:lang w:eastAsia="zh-CN" w:bidi="ar"/>
              </w:rPr>
              <w:t>，</w:t>
            </w:r>
            <w:r>
              <w:rPr>
                <w:rFonts w:eastAsia="宋体"/>
                <w:kern w:val="0"/>
                <w:sz w:val="20"/>
                <w:szCs w:val="20"/>
                <w:lang w:bidi="ar"/>
              </w:rPr>
              <w:t xml:space="preserve">056.13 </w:t>
            </w:r>
          </w:p>
        </w:tc>
      </w:tr>
      <w:tr>
        <w:tblPrEx>
          <w:tblCellMar>
            <w:top w:w="0" w:type="dxa"/>
            <w:left w:w="108" w:type="dxa"/>
            <w:bottom w:w="0" w:type="dxa"/>
            <w:right w:w="108" w:type="dxa"/>
          </w:tblCellMar>
        </w:tblPrEx>
        <w:trPr>
          <w:trHeight w:val="551"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0"/>
                <w:szCs w:val="20"/>
              </w:rPr>
            </w:pPr>
            <w:r>
              <w:rPr>
                <w:rFonts w:eastAsia="宋体"/>
                <w:kern w:val="0"/>
                <w:sz w:val="20"/>
                <w:szCs w:val="20"/>
                <w:lang w:bidi="ar"/>
              </w:rPr>
              <w:t>配套机具补贴</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0"/>
                <w:szCs w:val="20"/>
              </w:rPr>
            </w:pPr>
            <w:r>
              <w:rPr>
                <w:rFonts w:eastAsia="宋体"/>
                <w:kern w:val="0"/>
                <w:sz w:val="20"/>
                <w:szCs w:val="20"/>
                <w:lang w:bidi="ar"/>
              </w:rPr>
              <w:t>565</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0"/>
                <w:szCs w:val="20"/>
              </w:rPr>
            </w:pPr>
            <w:r>
              <w:rPr>
                <w:rFonts w:eastAsia="宋体"/>
                <w:kern w:val="0"/>
                <w:sz w:val="20"/>
                <w:szCs w:val="20"/>
                <w:lang w:bidi="ar"/>
              </w:rPr>
              <w:t>565</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eastAsia="宋体"/>
                <w:sz w:val="20"/>
                <w:szCs w:val="20"/>
              </w:rPr>
            </w:pPr>
            <w:r>
              <w:rPr>
                <w:rFonts w:eastAsia="宋体"/>
                <w:kern w:val="0"/>
                <w:sz w:val="20"/>
                <w:szCs w:val="20"/>
                <w:lang w:bidi="ar"/>
              </w:rPr>
              <w:t xml:space="preserve">347.00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eastAsia="宋体"/>
                <w:sz w:val="20"/>
                <w:szCs w:val="20"/>
              </w:rPr>
            </w:pPr>
            <w:r>
              <w:rPr>
                <w:rFonts w:eastAsia="宋体"/>
                <w:kern w:val="0"/>
                <w:sz w:val="20"/>
                <w:szCs w:val="20"/>
                <w:lang w:bidi="ar"/>
              </w:rPr>
              <w:t xml:space="preserve">346.77 </w:t>
            </w:r>
          </w:p>
        </w:tc>
      </w:tr>
      <w:tr>
        <w:tblPrEx>
          <w:tblCellMar>
            <w:top w:w="0" w:type="dxa"/>
            <w:left w:w="108" w:type="dxa"/>
            <w:bottom w:w="0" w:type="dxa"/>
            <w:right w:w="108" w:type="dxa"/>
          </w:tblCellMar>
        </w:tblPrEx>
        <w:trPr>
          <w:trHeight w:val="282"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b/>
                <w:bCs/>
                <w:sz w:val="20"/>
                <w:szCs w:val="20"/>
              </w:rPr>
            </w:pPr>
            <w:r>
              <w:rPr>
                <w:rFonts w:eastAsia="宋体"/>
                <w:b/>
                <w:bCs/>
                <w:kern w:val="0"/>
                <w:sz w:val="20"/>
                <w:szCs w:val="20"/>
                <w:lang w:bidi="ar"/>
              </w:rPr>
              <w:t>合计</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b/>
                <w:bCs/>
                <w:sz w:val="20"/>
                <w:szCs w:val="20"/>
              </w:rPr>
            </w:pPr>
            <w:r>
              <w:rPr>
                <w:rFonts w:eastAsia="宋体"/>
                <w:b/>
                <w:bCs/>
                <w:kern w:val="0"/>
                <w:sz w:val="20"/>
                <w:szCs w:val="20"/>
                <w:lang w:bidi="ar"/>
              </w:rPr>
              <w:t>1</w:t>
            </w:r>
            <w:r>
              <w:rPr>
                <w:rFonts w:hint="eastAsia" w:eastAsia="宋体"/>
                <w:b/>
                <w:bCs/>
                <w:kern w:val="0"/>
                <w:sz w:val="20"/>
                <w:szCs w:val="20"/>
                <w:lang w:eastAsia="zh-CN" w:bidi="ar"/>
              </w:rPr>
              <w:t>，</w:t>
            </w:r>
            <w:r>
              <w:rPr>
                <w:rFonts w:eastAsia="宋体"/>
                <w:b/>
                <w:bCs/>
                <w:kern w:val="0"/>
                <w:sz w:val="20"/>
                <w:szCs w:val="20"/>
                <w:lang w:bidi="ar"/>
              </w:rPr>
              <w:t>485</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b/>
                <w:bCs/>
                <w:sz w:val="20"/>
                <w:szCs w:val="20"/>
              </w:rPr>
            </w:pPr>
            <w:r>
              <w:rPr>
                <w:rFonts w:eastAsia="宋体"/>
                <w:b/>
                <w:bCs/>
                <w:kern w:val="0"/>
                <w:sz w:val="20"/>
                <w:szCs w:val="20"/>
                <w:lang w:bidi="ar"/>
              </w:rPr>
              <w:t>1</w:t>
            </w:r>
            <w:r>
              <w:rPr>
                <w:rFonts w:hint="eastAsia" w:eastAsia="宋体"/>
                <w:b/>
                <w:bCs/>
                <w:kern w:val="0"/>
                <w:sz w:val="20"/>
                <w:szCs w:val="20"/>
                <w:lang w:eastAsia="zh-CN" w:bidi="ar"/>
              </w:rPr>
              <w:t>，</w:t>
            </w:r>
            <w:r>
              <w:rPr>
                <w:rFonts w:eastAsia="宋体"/>
                <w:b/>
                <w:bCs/>
                <w:kern w:val="0"/>
                <w:sz w:val="20"/>
                <w:szCs w:val="20"/>
                <w:lang w:bidi="ar"/>
              </w:rPr>
              <w:t>485</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eastAsia="宋体"/>
                <w:b/>
                <w:bCs/>
                <w:sz w:val="20"/>
                <w:szCs w:val="20"/>
              </w:rPr>
            </w:pPr>
            <w:r>
              <w:rPr>
                <w:rFonts w:eastAsia="宋体"/>
                <w:b/>
                <w:bCs/>
                <w:kern w:val="0"/>
                <w:sz w:val="20"/>
                <w:szCs w:val="20"/>
                <w:lang w:bidi="ar"/>
              </w:rPr>
              <w:t>5</w:t>
            </w:r>
            <w:r>
              <w:rPr>
                <w:rFonts w:hint="eastAsia" w:eastAsia="宋体"/>
                <w:b/>
                <w:bCs/>
                <w:kern w:val="0"/>
                <w:sz w:val="20"/>
                <w:szCs w:val="20"/>
                <w:lang w:eastAsia="zh-CN" w:bidi="ar"/>
              </w:rPr>
              <w:t>，</w:t>
            </w:r>
            <w:r>
              <w:rPr>
                <w:rFonts w:eastAsia="宋体"/>
                <w:b/>
                <w:bCs/>
                <w:kern w:val="0"/>
                <w:sz w:val="20"/>
                <w:szCs w:val="20"/>
                <w:lang w:bidi="ar"/>
              </w:rPr>
              <w:t xml:space="preserve">412.00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eastAsia="宋体"/>
                <w:b/>
                <w:bCs/>
                <w:sz w:val="20"/>
                <w:szCs w:val="20"/>
              </w:rPr>
            </w:pPr>
            <w:r>
              <w:rPr>
                <w:rFonts w:eastAsia="宋体"/>
                <w:b/>
                <w:bCs/>
                <w:kern w:val="0"/>
                <w:sz w:val="20"/>
                <w:szCs w:val="20"/>
                <w:lang w:bidi="ar"/>
              </w:rPr>
              <w:t>5</w:t>
            </w:r>
            <w:r>
              <w:rPr>
                <w:rFonts w:hint="eastAsia" w:eastAsia="宋体"/>
                <w:b/>
                <w:bCs/>
                <w:kern w:val="0"/>
                <w:sz w:val="20"/>
                <w:szCs w:val="20"/>
                <w:lang w:eastAsia="zh-CN" w:bidi="ar"/>
              </w:rPr>
              <w:t>，</w:t>
            </w:r>
            <w:r>
              <w:rPr>
                <w:rFonts w:eastAsia="宋体"/>
                <w:b/>
                <w:bCs/>
                <w:kern w:val="0"/>
                <w:sz w:val="20"/>
                <w:szCs w:val="20"/>
                <w:lang w:bidi="ar"/>
              </w:rPr>
              <w:t xml:space="preserve">402.90 </w:t>
            </w:r>
          </w:p>
        </w:tc>
      </w:tr>
    </w:tbl>
    <w:p>
      <w:pPr>
        <w:ind w:firstLine="420"/>
        <w:jc w:val="center"/>
      </w:pPr>
      <w:r>
        <w:br w:type="page"/>
      </w:r>
    </w:p>
    <w:p>
      <w:pPr>
        <w:pStyle w:val="5"/>
        <w:spacing w:line="360" w:lineRule="auto"/>
        <w:ind w:firstLine="0" w:firstLineChars="0"/>
        <w:rPr>
          <w:rFonts w:ascii="Times New Roman" w:hAnsi="Times New Roman"/>
        </w:rPr>
      </w:pPr>
      <w:bookmarkStart w:id="94" w:name="_Toc29169"/>
      <w:bookmarkStart w:id="95" w:name="_Toc29082"/>
      <w:r>
        <w:rPr>
          <w:rFonts w:ascii="Times New Roman" w:hAnsi="Times New Roman"/>
        </w:rPr>
        <w:t>附件3：问卷调查分析报告</w:t>
      </w:r>
      <w:bookmarkEnd w:id="94"/>
      <w:bookmarkEnd w:id="95"/>
    </w:p>
    <w:p>
      <w:pPr>
        <w:ind w:firstLine="420"/>
      </w:pPr>
      <w:r>
        <w:t>本次绩效评价的对象为2022年农业机械购置补贴项目，为客观评价该项目的社会效果，绩效评价小组依据公共支出绩效评价</w:t>
      </w:r>
      <w:r>
        <w:rPr>
          <w:rFonts w:hint="eastAsia"/>
          <w:lang w:eastAsia="zh-CN"/>
        </w:rPr>
        <w:t>“</w:t>
      </w:r>
      <w:r>
        <w:t>为顾客服务</w:t>
      </w:r>
      <w:r>
        <w:rPr>
          <w:rFonts w:hint="eastAsia"/>
          <w:lang w:eastAsia="zh-CN"/>
        </w:rPr>
        <w:t>”</w:t>
      </w:r>
      <w:r>
        <w:t>原理，引入</w:t>
      </w:r>
      <w:r>
        <w:rPr>
          <w:rFonts w:hint="eastAsia"/>
          <w:lang w:eastAsia="zh-CN"/>
        </w:rPr>
        <w:t>“</w:t>
      </w:r>
      <w:r>
        <w:t>受益农户满意度</w:t>
      </w:r>
      <w:r>
        <w:rPr>
          <w:rFonts w:hint="eastAsia"/>
          <w:lang w:eastAsia="zh-CN"/>
        </w:rPr>
        <w:t>”“</w:t>
      </w:r>
      <w:r>
        <w:t>提高农业机械化生产和社会化服务水平</w:t>
      </w:r>
      <w:r>
        <w:rPr>
          <w:rFonts w:hint="eastAsia"/>
          <w:lang w:eastAsia="zh-CN"/>
        </w:rPr>
        <w:t>”“</w:t>
      </w:r>
      <w:r>
        <w:t>促进农机科技进步</w:t>
      </w:r>
      <w:r>
        <w:rPr>
          <w:rFonts w:hint="eastAsia"/>
          <w:lang w:eastAsia="zh-CN"/>
        </w:rPr>
        <w:t>”</w:t>
      </w:r>
      <w:r>
        <w:t>等效益指标，了解群众对项目的评价情况，对本项目展开满意度问卷调查。问卷调查工作情况如下：</w:t>
      </w:r>
    </w:p>
    <w:p>
      <w:pPr>
        <w:ind w:firstLine="422"/>
        <w:rPr>
          <w:b/>
          <w:bCs/>
        </w:rPr>
      </w:pPr>
      <w:bookmarkStart w:id="96" w:name="_Toc529373554"/>
      <w:bookmarkStart w:id="97" w:name="_Toc529373321"/>
      <w:r>
        <w:rPr>
          <w:b/>
          <w:bCs/>
        </w:rPr>
        <w:t>1.调研对象</w:t>
      </w:r>
      <w:bookmarkEnd w:id="96"/>
      <w:bookmarkEnd w:id="97"/>
    </w:p>
    <w:p>
      <w:pPr>
        <w:ind w:firstLine="420"/>
      </w:pPr>
      <w:r>
        <w:t>本次调研的受益对象为受益补贴农户。</w:t>
      </w:r>
    </w:p>
    <w:p>
      <w:pPr>
        <w:ind w:firstLine="422"/>
        <w:rPr>
          <w:b/>
          <w:bCs/>
        </w:rPr>
      </w:pPr>
      <w:bookmarkStart w:id="98" w:name="_Toc529373322"/>
      <w:bookmarkStart w:id="99" w:name="_Toc529373555"/>
      <w:r>
        <w:rPr>
          <w:b/>
          <w:bCs/>
        </w:rPr>
        <w:t>2.调研内容</w:t>
      </w:r>
      <w:bookmarkEnd w:id="98"/>
      <w:bookmarkEnd w:id="99"/>
    </w:p>
    <w:p>
      <w:pPr>
        <w:ind w:firstLine="420"/>
      </w:pPr>
      <w:r>
        <w:t>（1）对2022年农业机械购置补贴项目实施后的满意度，包括对项目情况是否了解、知晓和满意、项目产品的应用是否了解和满意等。</w:t>
      </w:r>
    </w:p>
    <w:p>
      <w:pPr>
        <w:ind w:firstLine="420"/>
      </w:pPr>
      <w:r>
        <w:t>（2）对2022年农业机械购置补贴项目的意见和建议，通过开放式问答收集，涵盖各个方面。</w:t>
      </w:r>
    </w:p>
    <w:p>
      <w:pPr>
        <w:ind w:firstLine="422"/>
        <w:rPr>
          <w:b/>
          <w:bCs/>
        </w:rPr>
      </w:pPr>
      <w:bookmarkStart w:id="100" w:name="_Toc529373556"/>
      <w:bookmarkStart w:id="101" w:name="_Toc529373323"/>
      <w:r>
        <w:rPr>
          <w:b/>
          <w:bCs/>
        </w:rPr>
        <w:t>3.调研方法</w:t>
      </w:r>
      <w:bookmarkEnd w:id="100"/>
      <w:bookmarkEnd w:id="101"/>
    </w:p>
    <w:p>
      <w:pPr>
        <w:ind w:firstLine="420"/>
      </w:pPr>
      <w:r>
        <w:t>问卷调查采取抽样和重点选取的方式进行。在全面调研开展之前会先进行论证，依据论证结果对问卷和抽样方案再进行一次修改和调整。评价过程中还采用了现场勘察、档案法、市场比较法获取相应数据。然后采用定量和定性分析评价、处理数据。</w:t>
      </w:r>
    </w:p>
    <w:p>
      <w:pPr>
        <w:ind w:firstLine="422"/>
        <w:rPr>
          <w:b/>
          <w:bCs/>
        </w:rPr>
      </w:pPr>
      <w:bookmarkStart w:id="102" w:name="_Toc529373557"/>
      <w:bookmarkStart w:id="103" w:name="_Toc529373324"/>
      <w:r>
        <w:rPr>
          <w:b/>
          <w:bCs/>
        </w:rPr>
        <w:t>4.抽样方式</w:t>
      </w:r>
      <w:bookmarkEnd w:id="102"/>
      <w:bookmarkEnd w:id="103"/>
    </w:p>
    <w:p>
      <w:pPr>
        <w:ind w:firstLine="420"/>
      </w:pPr>
      <w:r>
        <w:t>为确保问卷调研的全面性和代表性，本次调研问卷调查采取抽样和重点选取的方式进行。问卷调查采取分层随机抽样方式，对2022年农业机械购置补贴项目受益农户随机抽取130人为样本，发放问卷130份。</w:t>
      </w:r>
    </w:p>
    <w:p>
      <w:pPr>
        <w:ind w:firstLine="422"/>
        <w:rPr>
          <w:b/>
          <w:bCs/>
        </w:rPr>
      </w:pPr>
      <w:bookmarkStart w:id="104" w:name="_Toc529373558"/>
      <w:bookmarkStart w:id="105" w:name="_Toc529373325"/>
      <w:r>
        <w:rPr>
          <w:b/>
          <w:bCs/>
        </w:rPr>
        <w:t>5.问卷的发放和回收</w:t>
      </w:r>
      <w:bookmarkEnd w:id="104"/>
      <w:bookmarkEnd w:id="105"/>
    </w:p>
    <w:p>
      <w:pPr>
        <w:ind w:firstLine="420"/>
        <w:jc w:val="left"/>
      </w:pPr>
      <w:r>
        <w:t>为充分采集调研对象的真实想法，保证调研的公平性和科学性，本次问卷调研不记名，在巴楚县农业农村机械化发展中心的协调配合下，组织安排线上电子问卷的发放与回收。</w:t>
      </w:r>
    </w:p>
    <w:p>
      <w:pPr>
        <w:numPr>
          <w:ilvl w:val="0"/>
          <w:numId w:val="2"/>
        </w:numPr>
        <w:ind w:firstLine="422"/>
        <w:jc w:val="left"/>
        <w:rPr>
          <w:b/>
          <w:bCs/>
        </w:rPr>
      </w:pPr>
      <w:r>
        <w:rPr>
          <w:b/>
          <w:bCs/>
        </w:rPr>
        <w:t>问卷调查分析结果</w:t>
      </w:r>
    </w:p>
    <w:p>
      <w:pPr>
        <w:ind w:firstLine="420"/>
      </w:pPr>
      <w:r>
        <w:t>本次调研过程中，评价小组实际发放问卷130份，回收问卷130份，问卷回收率为100.00%，有效问卷130份，有效回收率100.00%，根据调研反馈，受益补贴农户对项目实施及结果总体比较满意，对促进农机科技进步方面不太满意。本次调研的整体情况如下：</w:t>
      </w:r>
    </w:p>
    <w:p>
      <w:pPr>
        <w:pStyle w:val="14"/>
        <w:ind w:firstLine="360"/>
      </w:pPr>
    </w:p>
    <w:p>
      <w:pPr>
        <w:pStyle w:val="14"/>
        <w:ind w:firstLine="360"/>
      </w:pPr>
    </w:p>
    <w:p>
      <w:pPr>
        <w:pStyle w:val="14"/>
        <w:ind w:firstLine="360"/>
      </w:pPr>
    </w:p>
    <w:p>
      <w:pPr>
        <w:pStyle w:val="14"/>
        <w:ind w:firstLine="360"/>
      </w:pPr>
    </w:p>
    <w:p>
      <w:pPr>
        <w:pStyle w:val="14"/>
        <w:ind w:firstLine="360"/>
      </w:pPr>
    </w:p>
    <w:p>
      <w:pPr>
        <w:pStyle w:val="14"/>
        <w:ind w:firstLine="360"/>
      </w:pPr>
    </w:p>
    <w:p>
      <w:pPr>
        <w:pStyle w:val="14"/>
        <w:ind w:firstLine="360"/>
      </w:pPr>
    </w:p>
    <w:p>
      <w:pPr>
        <w:pStyle w:val="14"/>
        <w:ind w:firstLine="360"/>
      </w:pPr>
    </w:p>
    <w:tbl>
      <w:tblPr>
        <w:tblStyle w:val="20"/>
        <w:tblW w:w="5000" w:type="pct"/>
        <w:tblInd w:w="0" w:type="dxa"/>
        <w:tblLayout w:type="autofit"/>
        <w:tblCellMar>
          <w:top w:w="0" w:type="dxa"/>
          <w:left w:w="108" w:type="dxa"/>
          <w:bottom w:w="0" w:type="dxa"/>
          <w:right w:w="108" w:type="dxa"/>
        </w:tblCellMar>
      </w:tblPr>
      <w:tblGrid>
        <w:gridCol w:w="2845"/>
        <w:gridCol w:w="2935"/>
        <w:gridCol w:w="2742"/>
      </w:tblGrid>
      <w:tr>
        <w:tblPrEx>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widowControl/>
              <w:ind w:firstLine="420"/>
              <w:jc w:val="left"/>
              <w:textAlignment w:val="center"/>
              <w:rPr>
                <w:rFonts w:eastAsia="宋体"/>
              </w:rPr>
            </w:pPr>
            <w:r>
              <w:rPr>
                <w:rFonts w:eastAsia="宋体"/>
                <w:kern w:val="0"/>
                <w:lang w:bidi="ar"/>
              </w:rPr>
              <w:t>（1）您是否了解巴楚县农业农村机械化发展中心2022年农业机械购置补贴项目？</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占比</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是</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125</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96.2%</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否</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5</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3.8%</w:t>
            </w:r>
          </w:p>
        </w:tc>
      </w:tr>
      <w:tr>
        <w:tblPrEx>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widowControl/>
              <w:ind w:firstLine="420"/>
              <w:jc w:val="left"/>
              <w:textAlignment w:val="center"/>
              <w:rPr>
                <w:rFonts w:eastAsia="宋体"/>
              </w:rPr>
            </w:pPr>
            <w:r>
              <w:rPr>
                <w:rFonts w:eastAsia="宋体"/>
                <w:kern w:val="0"/>
                <w:lang w:bidi="ar"/>
              </w:rPr>
              <w:t>（2）您认为该项目的实施是否提高了农业机械化生产社会化服务水平？</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占比</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rPr>
              <w:t>有效提高</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rPr>
              <w:t>94</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72.9%</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rPr>
              <w:t>有所提高</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rPr>
              <w:t>24</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518.6%</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一般</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rPr>
              <w:t>6</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4.7%</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rPr>
              <w:t>提高效果较小</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rPr>
              <w:t>2</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1.6%</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无效果</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rPr>
              <w:t>3</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2.2%</w:t>
            </w:r>
          </w:p>
        </w:tc>
      </w:tr>
      <w:tr>
        <w:tblPrEx>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widowControl/>
              <w:ind w:firstLine="420"/>
              <w:jc w:val="left"/>
              <w:textAlignment w:val="center"/>
              <w:rPr>
                <w:rFonts w:eastAsia="宋体"/>
              </w:rPr>
            </w:pPr>
            <w:r>
              <w:rPr>
                <w:rFonts w:eastAsia="宋体"/>
                <w:kern w:val="0"/>
                <w:lang w:bidi="ar"/>
              </w:rPr>
              <w:t>（3）您认为该项目的实施是否促进了农机科技进步？</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占比</w:t>
            </w:r>
          </w:p>
        </w:tc>
      </w:tr>
      <w:tr>
        <w:tblPrEx>
          <w:tblCellMar>
            <w:top w:w="0" w:type="dxa"/>
            <w:left w:w="108" w:type="dxa"/>
            <w:bottom w:w="0" w:type="dxa"/>
            <w:right w:w="108" w:type="dxa"/>
          </w:tblCellMar>
        </w:tblPrEx>
        <w:trPr>
          <w:trHeight w:val="450" w:hRule="atLeast"/>
        </w:trPr>
        <w:tc>
          <w:tcPr>
            <w:tcW w:w="2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snapToGrid/>
              <w:ind w:firstLine="0" w:firstLineChars="0"/>
              <w:jc w:val="center"/>
              <w:textAlignment w:val="center"/>
              <w:rPr>
                <w:rFonts w:eastAsia="宋体"/>
              </w:rPr>
            </w:pPr>
            <w:r>
              <w:rPr>
                <w:rFonts w:eastAsia="宋体"/>
              </w:rPr>
              <w:t>有效提高</w:t>
            </w:r>
          </w:p>
        </w:tc>
        <w:tc>
          <w:tcPr>
            <w:tcW w:w="17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snapToGrid/>
              <w:ind w:firstLine="0" w:firstLineChars="0"/>
              <w:jc w:val="center"/>
              <w:textAlignment w:val="center"/>
              <w:rPr>
                <w:rFonts w:eastAsia="宋体"/>
              </w:rPr>
            </w:pPr>
            <w:r>
              <w:rPr>
                <w:rFonts w:eastAsia="宋体"/>
              </w:rPr>
              <w:t>95</w:t>
            </w:r>
          </w:p>
        </w:tc>
        <w:tc>
          <w:tcPr>
            <w:tcW w:w="16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snapToGrid/>
              <w:ind w:firstLine="0" w:firstLineChars="0"/>
              <w:jc w:val="center"/>
              <w:textAlignment w:val="center"/>
              <w:rPr>
                <w:rFonts w:eastAsia="宋体"/>
              </w:rPr>
            </w:pPr>
            <w:r>
              <w:rPr>
                <w:rFonts w:eastAsia="宋体"/>
                <w:kern w:val="0"/>
                <w:lang w:bidi="ar"/>
              </w:rPr>
              <w:t>73.1%</w:t>
            </w:r>
          </w:p>
        </w:tc>
      </w:tr>
      <w:tr>
        <w:tblPrEx>
          <w:tblCellMar>
            <w:top w:w="0" w:type="dxa"/>
            <w:left w:w="108" w:type="dxa"/>
            <w:bottom w:w="0" w:type="dxa"/>
            <w:right w:w="108" w:type="dxa"/>
          </w:tblCellMar>
        </w:tblPrEx>
        <w:trPr>
          <w:trHeight w:val="450" w:hRule="atLeast"/>
        </w:trPr>
        <w:tc>
          <w:tcPr>
            <w:tcW w:w="2845"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adjustRightInd/>
              <w:snapToGrid/>
              <w:ind w:firstLine="0" w:firstLineChars="0"/>
              <w:jc w:val="center"/>
              <w:textAlignment w:val="center"/>
              <w:rPr>
                <w:rFonts w:eastAsia="宋体"/>
              </w:rPr>
            </w:pPr>
            <w:r>
              <w:rPr>
                <w:rFonts w:eastAsia="宋体"/>
              </w:rPr>
              <w:t>有所提高</w:t>
            </w:r>
          </w:p>
        </w:tc>
        <w:tc>
          <w:tcPr>
            <w:tcW w:w="1722" w:type="pct"/>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adjustRightInd/>
              <w:snapToGrid/>
              <w:ind w:firstLine="0" w:firstLineChars="0"/>
              <w:jc w:val="center"/>
              <w:textAlignment w:val="center"/>
              <w:rPr>
                <w:rFonts w:eastAsia="宋体"/>
              </w:rPr>
            </w:pPr>
            <w:r>
              <w:rPr>
                <w:rFonts w:eastAsia="宋体"/>
              </w:rPr>
              <w:t>23</w:t>
            </w:r>
          </w:p>
        </w:tc>
        <w:tc>
          <w:tcPr>
            <w:tcW w:w="1608" w:type="pct"/>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adjustRightInd/>
              <w:snapToGrid/>
              <w:ind w:firstLine="0" w:firstLineChars="0"/>
              <w:jc w:val="center"/>
              <w:textAlignment w:val="center"/>
              <w:rPr>
                <w:rFonts w:eastAsia="宋体"/>
              </w:rPr>
            </w:pPr>
            <w:r>
              <w:rPr>
                <w:rFonts w:eastAsia="宋体"/>
                <w:kern w:val="0"/>
                <w:lang w:bidi="ar"/>
              </w:rPr>
              <w:t>17.7%</w:t>
            </w:r>
          </w:p>
        </w:tc>
      </w:tr>
      <w:tr>
        <w:tblPrEx>
          <w:tblCellMar>
            <w:top w:w="0" w:type="dxa"/>
            <w:left w:w="108" w:type="dxa"/>
            <w:bottom w:w="0" w:type="dxa"/>
            <w:right w:w="108" w:type="dxa"/>
          </w:tblCellMar>
        </w:tblPrEx>
        <w:trPr>
          <w:trHeight w:val="450" w:hRule="atLeast"/>
        </w:trPr>
        <w:tc>
          <w:tcPr>
            <w:tcW w:w="2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snapToGrid/>
              <w:ind w:firstLine="0" w:firstLineChars="0"/>
              <w:jc w:val="center"/>
              <w:textAlignment w:val="center"/>
              <w:rPr>
                <w:rFonts w:eastAsia="宋体"/>
              </w:rPr>
            </w:pPr>
            <w:r>
              <w:rPr>
                <w:rFonts w:eastAsia="宋体"/>
                <w:kern w:val="0"/>
                <w:lang w:bidi="ar"/>
              </w:rPr>
              <w:t>一般</w:t>
            </w:r>
          </w:p>
        </w:tc>
        <w:tc>
          <w:tcPr>
            <w:tcW w:w="17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snapToGrid/>
              <w:ind w:firstLine="0" w:firstLineChars="0"/>
              <w:jc w:val="center"/>
              <w:textAlignment w:val="center"/>
              <w:rPr>
                <w:rFonts w:eastAsia="宋体"/>
              </w:rPr>
            </w:pPr>
            <w:r>
              <w:rPr>
                <w:rFonts w:eastAsia="宋体"/>
              </w:rPr>
              <w:t>7</w:t>
            </w:r>
          </w:p>
        </w:tc>
        <w:tc>
          <w:tcPr>
            <w:tcW w:w="16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snapToGrid/>
              <w:ind w:firstLine="0" w:firstLineChars="0"/>
              <w:jc w:val="center"/>
              <w:textAlignment w:val="center"/>
              <w:rPr>
                <w:rFonts w:eastAsia="宋体"/>
              </w:rPr>
            </w:pPr>
            <w:r>
              <w:rPr>
                <w:rFonts w:eastAsia="宋体"/>
                <w:kern w:val="0"/>
                <w:lang w:bidi="ar"/>
              </w:rPr>
              <w:t>5.4%</w:t>
            </w:r>
          </w:p>
        </w:tc>
      </w:tr>
      <w:tr>
        <w:tblPrEx>
          <w:tblCellMar>
            <w:top w:w="0" w:type="dxa"/>
            <w:left w:w="108" w:type="dxa"/>
            <w:bottom w:w="0" w:type="dxa"/>
            <w:right w:w="108" w:type="dxa"/>
          </w:tblCellMar>
        </w:tblPrEx>
        <w:trPr>
          <w:trHeight w:val="450" w:hRule="atLeast"/>
        </w:trPr>
        <w:tc>
          <w:tcPr>
            <w:tcW w:w="2845"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adjustRightInd/>
              <w:snapToGrid/>
              <w:ind w:firstLine="0" w:firstLineChars="0"/>
              <w:jc w:val="center"/>
              <w:textAlignment w:val="center"/>
              <w:rPr>
                <w:rFonts w:eastAsia="宋体"/>
              </w:rPr>
            </w:pPr>
            <w:r>
              <w:rPr>
                <w:rFonts w:eastAsia="宋体"/>
              </w:rPr>
              <w:t>提高效果较小</w:t>
            </w:r>
          </w:p>
        </w:tc>
        <w:tc>
          <w:tcPr>
            <w:tcW w:w="1722" w:type="pct"/>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adjustRightInd/>
              <w:snapToGrid/>
              <w:ind w:firstLine="0" w:firstLineChars="0"/>
              <w:jc w:val="center"/>
              <w:textAlignment w:val="center"/>
              <w:rPr>
                <w:rFonts w:eastAsia="宋体"/>
              </w:rPr>
            </w:pPr>
            <w:r>
              <w:rPr>
                <w:rFonts w:eastAsia="宋体"/>
              </w:rPr>
              <w:t>2</w:t>
            </w:r>
          </w:p>
        </w:tc>
        <w:tc>
          <w:tcPr>
            <w:tcW w:w="1608" w:type="pct"/>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adjustRightInd/>
              <w:snapToGrid/>
              <w:ind w:firstLine="0" w:firstLineChars="0"/>
              <w:jc w:val="center"/>
              <w:textAlignment w:val="center"/>
              <w:rPr>
                <w:rFonts w:eastAsia="宋体"/>
              </w:rPr>
            </w:pPr>
            <w:r>
              <w:rPr>
                <w:rFonts w:eastAsia="宋体"/>
                <w:kern w:val="0"/>
                <w:lang w:bidi="ar"/>
              </w:rPr>
              <w:t>1.5%</w:t>
            </w:r>
          </w:p>
        </w:tc>
      </w:tr>
      <w:tr>
        <w:tblPrEx>
          <w:tblCellMar>
            <w:top w:w="0" w:type="dxa"/>
            <w:left w:w="108" w:type="dxa"/>
            <w:bottom w:w="0" w:type="dxa"/>
            <w:right w:w="108" w:type="dxa"/>
          </w:tblCellMar>
        </w:tblPrEx>
        <w:trPr>
          <w:trHeight w:val="450" w:hRule="atLeast"/>
        </w:trPr>
        <w:tc>
          <w:tcPr>
            <w:tcW w:w="2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snapToGrid/>
              <w:ind w:firstLine="0" w:firstLineChars="0"/>
              <w:jc w:val="center"/>
              <w:textAlignment w:val="center"/>
              <w:rPr>
                <w:rFonts w:eastAsia="宋体"/>
              </w:rPr>
            </w:pPr>
            <w:r>
              <w:rPr>
                <w:rFonts w:eastAsia="宋体"/>
                <w:kern w:val="0"/>
                <w:lang w:bidi="ar"/>
              </w:rPr>
              <w:t>无效果</w:t>
            </w:r>
          </w:p>
        </w:tc>
        <w:tc>
          <w:tcPr>
            <w:tcW w:w="17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snapToGrid/>
              <w:ind w:firstLine="0" w:firstLineChars="0"/>
              <w:jc w:val="center"/>
              <w:textAlignment w:val="center"/>
              <w:rPr>
                <w:rFonts w:eastAsia="宋体"/>
              </w:rPr>
            </w:pPr>
            <w:r>
              <w:rPr>
                <w:rFonts w:eastAsia="宋体"/>
              </w:rPr>
              <w:t>3</w:t>
            </w:r>
          </w:p>
        </w:tc>
        <w:tc>
          <w:tcPr>
            <w:tcW w:w="16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snapToGrid/>
              <w:ind w:firstLine="0" w:firstLineChars="0"/>
              <w:jc w:val="center"/>
              <w:textAlignment w:val="center"/>
              <w:rPr>
                <w:rFonts w:eastAsia="宋体"/>
              </w:rPr>
            </w:pPr>
            <w:r>
              <w:rPr>
                <w:rFonts w:eastAsia="宋体"/>
                <w:kern w:val="0"/>
                <w:lang w:bidi="ar"/>
              </w:rPr>
              <w:t>2.2%</w:t>
            </w:r>
          </w:p>
        </w:tc>
      </w:tr>
      <w:tr>
        <w:tblPrEx>
          <w:tblCellMar>
            <w:top w:w="0" w:type="dxa"/>
            <w:left w:w="108" w:type="dxa"/>
            <w:bottom w:w="0" w:type="dxa"/>
            <w:right w:w="108" w:type="dxa"/>
          </w:tblCellMar>
        </w:tblPrEx>
        <w:trPr>
          <w:trHeight w:val="45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snapToGrid/>
              <w:ind w:firstLine="210" w:firstLineChars="100"/>
              <w:jc w:val="left"/>
              <w:textAlignment w:val="center"/>
              <w:rPr>
                <w:rFonts w:eastAsia="宋体"/>
                <w:b/>
                <w:bCs/>
                <w:kern w:val="0"/>
                <w:lang w:bidi="ar"/>
              </w:rPr>
            </w:pPr>
            <w:r>
              <w:rPr>
                <w:rFonts w:eastAsia="宋体"/>
                <w:kern w:val="0"/>
                <w:lang w:bidi="ar"/>
              </w:rPr>
              <w:t>（4）您对于本项目的整体实施过程的满意度如何？</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widowControl/>
              <w:adjustRightInd/>
              <w:snapToGrid/>
              <w:ind w:firstLine="0" w:firstLineChars="0"/>
              <w:jc w:val="center"/>
              <w:textAlignment w:val="center"/>
              <w:rPr>
                <w:rFonts w:eastAsia="宋体"/>
                <w:b/>
                <w:bCs/>
              </w:rPr>
            </w:pPr>
            <w:r>
              <w:rPr>
                <w:rFonts w:eastAsia="宋体"/>
                <w:b/>
                <w:bCs/>
                <w:kern w:val="0"/>
                <w:lang w:bidi="ar"/>
              </w:rPr>
              <w:t>占比</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非常满意</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50</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83.33%</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比较满意</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5</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8.33%</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一般</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5</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8.33%</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不太满意</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widowControl/>
              <w:adjustRightInd/>
              <w:snapToGrid/>
              <w:ind w:firstLine="0" w:firstLineChars="0"/>
              <w:jc w:val="center"/>
              <w:textAlignment w:val="center"/>
              <w:rPr>
                <w:rFonts w:eastAsia="宋体"/>
              </w:rPr>
            </w:pPr>
            <w:r>
              <w:rPr>
                <w:rFonts w:eastAsia="宋体"/>
                <w:kern w:val="0"/>
                <w:lang w:bidi="ar"/>
              </w:rPr>
              <w:t>0.00%</w:t>
            </w:r>
          </w:p>
        </w:tc>
      </w:tr>
      <w:tr>
        <w:tblPrEx>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不满意</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ind w:firstLine="0" w:firstLineChars="0"/>
              <w:jc w:val="center"/>
              <w:textAlignment w:val="center"/>
              <w:rPr>
                <w:rFonts w:eastAsia="宋体"/>
              </w:rPr>
            </w:pPr>
            <w:r>
              <w:rPr>
                <w:rFonts w:eastAsia="宋体"/>
                <w:kern w:val="0"/>
                <w:lang w:bidi="ar"/>
              </w:rPr>
              <w:t>0.00%</w:t>
            </w:r>
          </w:p>
        </w:tc>
      </w:tr>
      <w:tr>
        <w:tblPrEx>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widowControl/>
              <w:ind w:firstLine="420"/>
              <w:jc w:val="left"/>
              <w:textAlignment w:val="center"/>
              <w:rPr>
                <w:rFonts w:eastAsia="宋体"/>
              </w:rPr>
            </w:pPr>
            <w:r>
              <w:rPr>
                <w:rFonts w:eastAsia="宋体"/>
                <w:kern w:val="0"/>
                <w:lang w:bidi="ar"/>
              </w:rPr>
              <w:t>（5）您认为该项目中存在什么问题，有什么意见和建议。</w:t>
            </w:r>
          </w:p>
        </w:tc>
      </w:tr>
      <w:tr>
        <w:tblPrEx>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widowControl/>
              <w:ind w:firstLine="420"/>
              <w:jc w:val="left"/>
              <w:textAlignment w:val="center"/>
              <w:rPr>
                <w:rFonts w:eastAsia="宋体"/>
              </w:rPr>
            </w:pPr>
            <w:r>
              <w:rPr>
                <w:rFonts w:eastAsia="宋体"/>
                <w:kern w:val="0"/>
                <w:lang w:bidi="ar"/>
              </w:rPr>
              <w:t>无。</w:t>
            </w:r>
          </w:p>
        </w:tc>
      </w:tr>
    </w:tbl>
    <w:p>
      <w:pPr>
        <w:numPr>
          <w:ilvl w:val="0"/>
          <w:numId w:val="0"/>
        </w:numPr>
        <w:jc w:val="left"/>
      </w:pPr>
      <w:r>
        <w:br w:type="page"/>
      </w:r>
    </w:p>
    <w:sectPr>
      <w:footerReference r:id="rId10" w:type="default"/>
      <w:pgSz w:w="11906" w:h="16838"/>
      <w:pgMar w:top="1440" w:right="1800" w:bottom="1440" w:left="1800"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right" w:pos="8999"/>
      </w:tabs>
      <w:ind w:firstLine="360"/>
    </w:pPr>
    <w:r>
      <w:rPr>
        <w:rFonts w:hint="eastAsia"/>
      </w:rPr>
      <w:tab/>
    </w:r>
    <w:r>
      <w:rPr>
        <w:rFonts w:hint="eastAsia"/>
      </w:rPr>
      <w:tab/>
    </w:r>
    <w:r>
      <w:rPr>
        <w:rFonts w:hint="eastAsia"/>
      </w:rPr>
      <w:tab/>
    </w:r>
    <w:r>
      <w:rPr>
        <w:rFonts w:hint="eastAsia"/>
      </w:rPr>
      <w:tab/>
    </w:r>
  </w:p>
  <w:p>
    <w:pPr>
      <w:pStyle w:val="11"/>
      <w:ind w:right="7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r>
      <mc:AlternateContent>
        <mc:Choice Requires="wps">
          <w:drawing>
            <wp:anchor distT="0" distB="0" distL="114300" distR="114300" simplePos="0" relativeHeight="251659264" behindDoc="0" locked="0" layoutInCell="1" allowOverlap="1">
              <wp:simplePos x="0" y="0"/>
              <wp:positionH relativeFrom="margin">
                <wp:posOffset>2633980</wp:posOffset>
              </wp:positionH>
              <wp:positionV relativeFrom="paragraph">
                <wp:posOffset>0</wp:posOffset>
              </wp:positionV>
              <wp:extent cx="326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6390" cy="1828800"/>
                      </a:xfrm>
                      <a:prstGeom prst="rect">
                        <a:avLst/>
                      </a:prstGeom>
                      <a:noFill/>
                      <a:ln>
                        <a:noFill/>
                      </a:ln>
                    </wps:spPr>
                    <wps:txbx>
                      <w:txbxContent>
                        <w:p>
                          <w:pPr>
                            <w:pStyle w:val="11"/>
                            <w:ind w:firstLine="0" w:firstLineChars="0"/>
                          </w:pPr>
                          <w:r>
                            <w:fldChar w:fldCharType="begin"/>
                          </w:r>
                          <w:r>
                            <w:instrText xml:space="preserve"> PAGE  \* MERGEFORMAT </w:instrText>
                          </w:r>
                          <w:r>
                            <w:fldChar w:fldCharType="separate"/>
                          </w:r>
                          <w:r>
                            <w:t>III</w:t>
                          </w:r>
                          <w: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left:207.4pt;margin-top:0pt;height:144pt;width:25.7pt;mso-position-horizontal-relative:margin;z-index:251659264;mso-width-relative:page;mso-height-relative:page;" filled="f" stroked="f" coordsize="21600,21600" o:gfxdata="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Gzqn9UAAAAIAQAADwAAAAAA&#10;AAABACAAAAAiAAAAZHJzL2Rvd25yZXYueG1sUEsBAhQAFAAAAAgAh07iQLGHlg6kAQAAMgMAAA4A&#10;AAAAAAAAAQAgAAAAJAEAAGRycy9lMm9Eb2MueG1sUEsFBgAAAAAGAAYAWQEAADoFAAAAAA==&#10;">
              <v:fill on="f" focussize="0,0"/>
              <v:stroke on="f"/>
              <v:imagedata o:title=""/>
              <o:lock v:ext="edit" aspectratio="f"/>
              <v:textbox inset="0mm,0mm,0mm,0mm" style="mso-fit-shape-to-text:t;">
                <w:txbxContent>
                  <w:p>
                    <w:pPr>
                      <w:pStyle w:val="11"/>
                      <w:ind w:firstLine="0" w:firstLineChars="0"/>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center"/>
    </w:pPr>
    <w:r>
      <mc:AlternateContent>
        <mc:Choice Requires="wps">
          <w:drawing>
            <wp:anchor distT="0" distB="0" distL="114300" distR="114300" simplePos="0" relativeHeight="251660288" behindDoc="0" locked="0" layoutInCell="1" allowOverlap="1">
              <wp:simplePos x="0" y="0"/>
              <wp:positionH relativeFrom="margin">
                <wp:posOffset>1094740</wp:posOffset>
              </wp:positionH>
              <wp:positionV relativeFrom="paragraph">
                <wp:posOffset>-52070</wp:posOffset>
              </wp:positionV>
              <wp:extent cx="260477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86.2pt;margin-top:-4.1pt;height:144pt;width:205.1pt;mso-position-horizontal-relative:margin;z-index:251660288;mso-width-relative:page;mso-height-relative:page;" filled="f" stroked="f" coordsize="21600,21600" o:gfxdata="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fuYb9kAAAAKAQAADwAA&#10;AAAAAAABACAAAAAiAAAAZHJzL2Rvd25yZXYueG1sUEsBAhQAFAAAAAgAh07iQMMA+M8VAgAACQQA&#10;AA4AAAAAAAAAAQAgAAAAKAEAAGRycy9lMm9Eb2MueG1sUEsFBgAAAAAGAAYAWQEAAK8FAAAAAA==&#10;">
              <v:fill on="f" focussize="0,0"/>
              <v:stroke on="f" weight="0.5pt"/>
              <v:imagedata o:title=""/>
              <o:lock v:ext="edit" aspectratio="f"/>
              <v:textbox inset="0mm,0mm,0mm,0mm" style="mso-fit-shape-to-text:t;">
                <w:txbxContent>
                  <w:p>
                    <w:pPr>
                      <w:pStyle w:val="11"/>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center"/>
    </w:pPr>
    <w:r>
      <mc:AlternateContent>
        <mc:Choice Requires="wps">
          <w:drawing>
            <wp:anchor distT="0" distB="0" distL="114300" distR="114300" simplePos="0" relativeHeight="251661312" behindDoc="0" locked="0" layoutInCell="1" allowOverlap="1">
              <wp:simplePos x="0" y="0"/>
              <wp:positionH relativeFrom="margin">
                <wp:posOffset>3303270</wp:posOffset>
              </wp:positionH>
              <wp:positionV relativeFrom="paragraph">
                <wp:posOffset>-139065</wp:posOffset>
              </wp:positionV>
              <wp:extent cx="260477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29</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60.1pt;margin-top:-10.95pt;height:144pt;width:205.1pt;mso-position-horizontal-relative:margin;z-index:251661312;mso-width-relative:page;mso-height-relative:page;" filled="f" stroked="f" coordsize="21600,21600" o:gfxdata="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sD4wPZAAAACwEAAA8A&#10;AAAAAAAAAQAgAAAAIgAAAGRycy9kb3ducmV2LnhtbFBLAQIUABQAAAAIAIdO4kDw6g+EFgIAAAkE&#10;AAAOAAAAAAAAAAEAIAAAACgBAABkcnMvZTJvRG9jLnhtbFBLBQYAAAAABgAGAFkBAACwBQAAAAA=&#10;">
              <v:fill on="f" focussize="0,0"/>
              <v:stroke on="f" weight="0.5pt"/>
              <v:imagedata o:title=""/>
              <o:lock v:ext="edit" aspectratio="f"/>
              <v:textbox inset="0mm,0mm,0mm,0mm" style="mso-fit-shape-to-text:t;">
                <w:txbxContent>
                  <w:p>
                    <w:pPr>
                      <w:pStyle w:val="11"/>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29</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center"/>
    </w:pPr>
    <w:r>
      <mc:AlternateContent>
        <mc:Choice Requires="wps">
          <w:drawing>
            <wp:anchor distT="0" distB="0" distL="114300" distR="114300" simplePos="0" relativeHeight="251662336" behindDoc="0" locked="0" layoutInCell="1" allowOverlap="1">
              <wp:simplePos x="0" y="0"/>
              <wp:positionH relativeFrom="margin">
                <wp:posOffset>2196465</wp:posOffset>
              </wp:positionH>
              <wp:positionV relativeFrom="paragraph">
                <wp:posOffset>-55245</wp:posOffset>
              </wp:positionV>
              <wp:extent cx="56261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26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42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34</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2.95pt;margin-top:-4.35pt;height:144pt;width:44.3pt;mso-position-horizontal-relative:margin;z-index:251662336;mso-width-relative:page;mso-height-relative:page;" filled="f" stroked="f" coordsize="21600,21600" o:gfxdata="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D3HfLZAAAACgEAAA8AAAAA&#10;AAAAAQAgAAAAIgAAAGRycy9kb3ducmV2LnhtbFBLAQIUABQAAAAIAIdO4kBcwhINEwIAAAgEAAAO&#10;AAAAAAAAAAEAIAAAACgBAABkcnMvZTJvRG9jLnhtbFBLBQYAAAAABgAGAFkBAACtBQAAAAA=&#10;">
              <v:fill on="f" focussize="0,0"/>
              <v:stroke on="f" weight="0.5pt"/>
              <v:imagedata o:title=""/>
              <o:lock v:ext="edit" aspectratio="f"/>
              <v:textbox inset="0mm,0mm,0mm,0mm" style="mso-fit-shape-to-text:t;">
                <w:txbxContent>
                  <w:p>
                    <w:pPr>
                      <w:pStyle w:val="11"/>
                      <w:ind w:firstLine="42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34</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adjustRightInd/>
      <w:spacing w:line="240" w:lineRule="auto"/>
      <w:ind w:firstLine="0" w:firstLineChars="0"/>
      <w:jc w:val="right"/>
      <w:rPr>
        <w:rFonts w:ascii="黑体" w:hAnsi="黑体" w:eastAsia="黑体" w:cs="黑体"/>
        <w:b/>
        <w:bCs/>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right"/>
      <w:rPr>
        <w:rFonts w:ascii="黑体" w:hAnsi="黑体" w:eastAsia="黑体" w:cs="黑体"/>
        <w:b/>
        <w:bCs/>
        <w:sz w:val="15"/>
        <w:szCs w:val="15"/>
      </w:rPr>
    </w:pPr>
    <w:r>
      <w:rPr>
        <w:rFonts w:hint="eastAsia" w:ascii="黑体" w:hAnsi="黑体" w:eastAsia="黑体" w:cs="黑体"/>
        <w:b/>
        <w:bCs/>
        <w:sz w:val="15"/>
        <w:szCs w:val="15"/>
      </w:rPr>
      <w:t>2022年农业机械购置补贴项目绩效评价报告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4CB52"/>
    <w:multiLevelType w:val="singleLevel"/>
    <w:tmpl w:val="9994CB52"/>
    <w:lvl w:ilvl="0" w:tentative="0">
      <w:start w:val="6"/>
      <w:numFmt w:val="decimal"/>
      <w:lvlText w:val="%1."/>
      <w:lvlJc w:val="left"/>
      <w:pPr>
        <w:tabs>
          <w:tab w:val="left" w:pos="312"/>
        </w:tabs>
      </w:pPr>
    </w:lvl>
  </w:abstractNum>
  <w:abstractNum w:abstractNumId="1">
    <w:nsid w:val="AA485E6A"/>
    <w:multiLevelType w:val="singleLevel"/>
    <w:tmpl w:val="AA485E6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OTE1ZDZjYTgzMWI5ZTMwMjkzOTM0NjBiZWNmY2EifQ=="/>
  </w:docVars>
  <w:rsids>
    <w:rsidRoot w:val="00A03703"/>
    <w:rsid w:val="00107B33"/>
    <w:rsid w:val="00144E57"/>
    <w:rsid w:val="0020458F"/>
    <w:rsid w:val="00207014"/>
    <w:rsid w:val="002550B3"/>
    <w:rsid w:val="0041395F"/>
    <w:rsid w:val="00426245"/>
    <w:rsid w:val="00673FBC"/>
    <w:rsid w:val="006C6562"/>
    <w:rsid w:val="007E519E"/>
    <w:rsid w:val="00837A57"/>
    <w:rsid w:val="00A03703"/>
    <w:rsid w:val="00B44DE3"/>
    <w:rsid w:val="00C32FFE"/>
    <w:rsid w:val="00CA14B6"/>
    <w:rsid w:val="00D50A30"/>
    <w:rsid w:val="00DB4D90"/>
    <w:rsid w:val="00E52D4B"/>
    <w:rsid w:val="00E7518F"/>
    <w:rsid w:val="015810C7"/>
    <w:rsid w:val="02F42292"/>
    <w:rsid w:val="03632B1A"/>
    <w:rsid w:val="038300E4"/>
    <w:rsid w:val="04542819"/>
    <w:rsid w:val="060A6B52"/>
    <w:rsid w:val="071F0F54"/>
    <w:rsid w:val="07637A7F"/>
    <w:rsid w:val="09A40EC9"/>
    <w:rsid w:val="09E65C14"/>
    <w:rsid w:val="0AF958DB"/>
    <w:rsid w:val="0B1B0372"/>
    <w:rsid w:val="0B9D2952"/>
    <w:rsid w:val="0BC37BB5"/>
    <w:rsid w:val="0C69230C"/>
    <w:rsid w:val="0D4252AC"/>
    <w:rsid w:val="0E1D44E3"/>
    <w:rsid w:val="0EC86014"/>
    <w:rsid w:val="0F4E1CE6"/>
    <w:rsid w:val="0FBF2F43"/>
    <w:rsid w:val="0FCD2B4A"/>
    <w:rsid w:val="1031369A"/>
    <w:rsid w:val="107D591E"/>
    <w:rsid w:val="11C83272"/>
    <w:rsid w:val="11F254F3"/>
    <w:rsid w:val="12985E70"/>
    <w:rsid w:val="1548367B"/>
    <w:rsid w:val="15DE3B15"/>
    <w:rsid w:val="165A31CB"/>
    <w:rsid w:val="17893718"/>
    <w:rsid w:val="17FA293A"/>
    <w:rsid w:val="1821504C"/>
    <w:rsid w:val="18ED5798"/>
    <w:rsid w:val="19E10D98"/>
    <w:rsid w:val="1A3343E7"/>
    <w:rsid w:val="1A550EE4"/>
    <w:rsid w:val="1BE433C9"/>
    <w:rsid w:val="1D7C34FA"/>
    <w:rsid w:val="1FF31A1D"/>
    <w:rsid w:val="20685C53"/>
    <w:rsid w:val="208800D4"/>
    <w:rsid w:val="22765201"/>
    <w:rsid w:val="22BE3703"/>
    <w:rsid w:val="22D856FA"/>
    <w:rsid w:val="23196A54"/>
    <w:rsid w:val="23B14FE2"/>
    <w:rsid w:val="249C1D43"/>
    <w:rsid w:val="249E5B79"/>
    <w:rsid w:val="25AF6319"/>
    <w:rsid w:val="25F7546A"/>
    <w:rsid w:val="261A54A0"/>
    <w:rsid w:val="27324D46"/>
    <w:rsid w:val="27F4691E"/>
    <w:rsid w:val="282B4E63"/>
    <w:rsid w:val="28A233FE"/>
    <w:rsid w:val="28AF15F0"/>
    <w:rsid w:val="29233D8C"/>
    <w:rsid w:val="2AAD1304"/>
    <w:rsid w:val="2ACB067B"/>
    <w:rsid w:val="2BAA535D"/>
    <w:rsid w:val="2CD07DE1"/>
    <w:rsid w:val="2D7676CD"/>
    <w:rsid w:val="2D851C20"/>
    <w:rsid w:val="2EA87CB6"/>
    <w:rsid w:val="2F960FAB"/>
    <w:rsid w:val="321F5E55"/>
    <w:rsid w:val="323B2211"/>
    <w:rsid w:val="32754CDC"/>
    <w:rsid w:val="33484DD4"/>
    <w:rsid w:val="33D93B0A"/>
    <w:rsid w:val="34784536"/>
    <w:rsid w:val="35270760"/>
    <w:rsid w:val="35A013A5"/>
    <w:rsid w:val="36116BB6"/>
    <w:rsid w:val="36AD71B0"/>
    <w:rsid w:val="37823126"/>
    <w:rsid w:val="398D26CB"/>
    <w:rsid w:val="3AEF3BB8"/>
    <w:rsid w:val="3AF34C1D"/>
    <w:rsid w:val="3B893F22"/>
    <w:rsid w:val="3C7517BA"/>
    <w:rsid w:val="3DAF0D3F"/>
    <w:rsid w:val="3DB50D85"/>
    <w:rsid w:val="3E1C2156"/>
    <w:rsid w:val="3EC20616"/>
    <w:rsid w:val="3EF677C8"/>
    <w:rsid w:val="3FE13309"/>
    <w:rsid w:val="402475C8"/>
    <w:rsid w:val="40525192"/>
    <w:rsid w:val="41FD407B"/>
    <w:rsid w:val="43514F93"/>
    <w:rsid w:val="43693878"/>
    <w:rsid w:val="44A152F5"/>
    <w:rsid w:val="44D7716D"/>
    <w:rsid w:val="450B1E4C"/>
    <w:rsid w:val="45BC322C"/>
    <w:rsid w:val="45F60D87"/>
    <w:rsid w:val="46636135"/>
    <w:rsid w:val="46933EA7"/>
    <w:rsid w:val="47CF4B90"/>
    <w:rsid w:val="47D2296C"/>
    <w:rsid w:val="485E477D"/>
    <w:rsid w:val="48D904D2"/>
    <w:rsid w:val="49516307"/>
    <w:rsid w:val="4A700227"/>
    <w:rsid w:val="4C6E6818"/>
    <w:rsid w:val="4D880B1B"/>
    <w:rsid w:val="4EA10F00"/>
    <w:rsid w:val="500E557E"/>
    <w:rsid w:val="50B0098E"/>
    <w:rsid w:val="51CB6D08"/>
    <w:rsid w:val="52BE22D6"/>
    <w:rsid w:val="52DC6F32"/>
    <w:rsid w:val="54354CF1"/>
    <w:rsid w:val="54F658F5"/>
    <w:rsid w:val="56921B6A"/>
    <w:rsid w:val="56B64B3F"/>
    <w:rsid w:val="56C95C99"/>
    <w:rsid w:val="574004F3"/>
    <w:rsid w:val="578703B6"/>
    <w:rsid w:val="58101A00"/>
    <w:rsid w:val="58691E53"/>
    <w:rsid w:val="588C73ED"/>
    <w:rsid w:val="58DE2219"/>
    <w:rsid w:val="593F3897"/>
    <w:rsid w:val="5A786ECE"/>
    <w:rsid w:val="5AB400CB"/>
    <w:rsid w:val="5B853FEE"/>
    <w:rsid w:val="5C6B645D"/>
    <w:rsid w:val="5CC24AC8"/>
    <w:rsid w:val="5D3553A1"/>
    <w:rsid w:val="5D382BE7"/>
    <w:rsid w:val="5D4248D7"/>
    <w:rsid w:val="5DCD7F57"/>
    <w:rsid w:val="5DEE6DAA"/>
    <w:rsid w:val="5ECA0619"/>
    <w:rsid w:val="5F7766BD"/>
    <w:rsid w:val="6071335A"/>
    <w:rsid w:val="60734625"/>
    <w:rsid w:val="6079033F"/>
    <w:rsid w:val="60964EA2"/>
    <w:rsid w:val="60C55A56"/>
    <w:rsid w:val="61A07AB2"/>
    <w:rsid w:val="633F4C08"/>
    <w:rsid w:val="63B25E41"/>
    <w:rsid w:val="645A1577"/>
    <w:rsid w:val="64F45A15"/>
    <w:rsid w:val="64FF2692"/>
    <w:rsid w:val="650F150C"/>
    <w:rsid w:val="6534131C"/>
    <w:rsid w:val="6539313A"/>
    <w:rsid w:val="6631134F"/>
    <w:rsid w:val="66452AE1"/>
    <w:rsid w:val="666366DF"/>
    <w:rsid w:val="66B97EF2"/>
    <w:rsid w:val="67543046"/>
    <w:rsid w:val="67925CE3"/>
    <w:rsid w:val="686468AC"/>
    <w:rsid w:val="68D511B8"/>
    <w:rsid w:val="68D57D54"/>
    <w:rsid w:val="68DC734A"/>
    <w:rsid w:val="69241139"/>
    <w:rsid w:val="69261353"/>
    <w:rsid w:val="6A8735A7"/>
    <w:rsid w:val="6AAF4400"/>
    <w:rsid w:val="6AE455CA"/>
    <w:rsid w:val="6B3C6AB5"/>
    <w:rsid w:val="6B603EAC"/>
    <w:rsid w:val="6BB11D9A"/>
    <w:rsid w:val="6C4D2388"/>
    <w:rsid w:val="6CA65E33"/>
    <w:rsid w:val="6D3E3A71"/>
    <w:rsid w:val="6D8E15BD"/>
    <w:rsid w:val="6E213EB9"/>
    <w:rsid w:val="6EF871E5"/>
    <w:rsid w:val="6F9A25D2"/>
    <w:rsid w:val="6FB6638D"/>
    <w:rsid w:val="70353A14"/>
    <w:rsid w:val="7099294B"/>
    <w:rsid w:val="71020B0A"/>
    <w:rsid w:val="71342B1A"/>
    <w:rsid w:val="71411DAB"/>
    <w:rsid w:val="715637F6"/>
    <w:rsid w:val="71810170"/>
    <w:rsid w:val="71C86595"/>
    <w:rsid w:val="7631020B"/>
    <w:rsid w:val="77E872FF"/>
    <w:rsid w:val="78C7160B"/>
    <w:rsid w:val="78DE0702"/>
    <w:rsid w:val="78E506EA"/>
    <w:rsid w:val="79143CC7"/>
    <w:rsid w:val="79A639C0"/>
    <w:rsid w:val="7AF60C30"/>
    <w:rsid w:val="7B027ABB"/>
    <w:rsid w:val="7B2858C4"/>
    <w:rsid w:val="7B733E5B"/>
    <w:rsid w:val="7B763091"/>
    <w:rsid w:val="7BA07EF1"/>
    <w:rsid w:val="7BF267D8"/>
    <w:rsid w:val="7BF423CC"/>
    <w:rsid w:val="7C095B90"/>
    <w:rsid w:val="7CA61F64"/>
    <w:rsid w:val="7D1A5184"/>
    <w:rsid w:val="7D507933"/>
    <w:rsid w:val="7DA020D4"/>
    <w:rsid w:val="7DE87DA2"/>
    <w:rsid w:val="7E883E77"/>
    <w:rsid w:val="7E9A281B"/>
    <w:rsid w:val="7EB542DD"/>
    <w:rsid w:val="7EDF390F"/>
    <w:rsid w:val="7FC72FA5"/>
    <w:rsid w:val="7FD82D8C"/>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883" w:firstLineChars="200"/>
      <w:jc w:val="both"/>
    </w:pPr>
    <w:rPr>
      <w:rFonts w:ascii="Times New Roman" w:hAnsi="Times New Roman" w:cs="Times New Roman" w:eastAsiaTheme="minorEastAsia"/>
      <w:kern w:val="2"/>
      <w:sz w:val="21"/>
      <w:szCs w:val="21"/>
      <w:lang w:val="en-US" w:eastAsia="zh-CN" w:bidi="ar-SA"/>
    </w:rPr>
  </w:style>
  <w:style w:type="paragraph" w:styleId="5">
    <w:name w:val="heading 1"/>
    <w:basedOn w:val="1"/>
    <w:next w:val="1"/>
    <w:qFormat/>
    <w:uiPriority w:val="99"/>
    <w:pPr>
      <w:keepNext/>
      <w:keepLines/>
      <w:spacing w:line="560" w:lineRule="exact"/>
      <w:outlineLvl w:val="0"/>
    </w:pPr>
    <w:rPr>
      <w:rFonts w:ascii="黑体" w:hAnsi="黑体"/>
      <w:b/>
      <w:bCs/>
      <w:kern w:val="44"/>
      <w:sz w:val="24"/>
      <w:szCs w:val="44"/>
    </w:rPr>
  </w:style>
  <w:style w:type="paragraph" w:styleId="6">
    <w:name w:val="heading 2"/>
    <w:basedOn w:val="1"/>
    <w:next w:val="1"/>
    <w:qFormat/>
    <w:uiPriority w:val="0"/>
    <w:pPr>
      <w:keepNext/>
      <w:keepLines/>
      <w:jc w:val="left"/>
      <w:outlineLvl w:val="1"/>
    </w:pPr>
    <w:rPr>
      <w:rFonts w:ascii="Cambria" w:hAnsi="Cambria"/>
      <w:b/>
      <w:bCs/>
      <w:kern w:val="0"/>
      <w:sz w:val="24"/>
      <w:szCs w:val="32"/>
    </w:rPr>
  </w:style>
  <w:style w:type="paragraph" w:styleId="2">
    <w:name w:val="heading 3"/>
    <w:basedOn w:val="1"/>
    <w:next w:val="3"/>
    <w:qFormat/>
    <w:uiPriority w:val="99"/>
    <w:pPr>
      <w:keepNext/>
      <w:keepLines/>
      <w:outlineLvl w:val="2"/>
    </w:pPr>
    <w:rPr>
      <w:rFonts w:ascii="仿宋_GB2312" w:hAnsi="仿宋_GB2312"/>
      <w:b/>
      <w:bCs/>
      <w:kern w:val="0"/>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toc 4"/>
    <w:basedOn w:val="1"/>
    <w:next w:val="1"/>
    <w:qFormat/>
    <w:uiPriority w:val="0"/>
    <w:pPr>
      <w:ind w:left="1260" w:leftChars="600"/>
    </w:pPr>
  </w:style>
  <w:style w:type="paragraph" w:styleId="7">
    <w:name w:val="annotation text"/>
    <w:basedOn w:val="1"/>
    <w:link w:val="36"/>
    <w:unhideWhenUsed/>
    <w:qFormat/>
    <w:uiPriority w:val="99"/>
    <w:rPr>
      <w:rFonts w:ascii="Calibri" w:hAnsi="Calibri" w:eastAsia="仿宋"/>
      <w:kern w:val="0"/>
      <w:sz w:val="24"/>
      <w:szCs w:val="20"/>
    </w:rPr>
  </w:style>
  <w:style w:type="paragraph" w:styleId="8">
    <w:name w:val="Body Text"/>
    <w:basedOn w:val="1"/>
    <w:qFormat/>
    <w:uiPriority w:val="0"/>
  </w:style>
  <w:style w:type="paragraph" w:styleId="9">
    <w:name w:val="Body Text Indent"/>
    <w:basedOn w:val="1"/>
    <w:qFormat/>
    <w:uiPriority w:val="0"/>
    <w:pPr>
      <w:ind w:firstLine="570"/>
    </w:pPr>
    <w:rPr>
      <w:rFonts w:eastAsia="宋体"/>
      <w:sz w:val="24"/>
    </w:rPr>
  </w:style>
  <w:style w:type="paragraph" w:styleId="10">
    <w:name w:val="Balloon Text"/>
    <w:basedOn w:val="1"/>
    <w:link w:val="35"/>
    <w:semiHidden/>
    <w:unhideWhenUsed/>
    <w:qFormat/>
    <w:uiPriority w:val="99"/>
    <w:pPr>
      <w:spacing w:line="240" w:lineRule="auto"/>
    </w:pPr>
    <w:rPr>
      <w:sz w:val="18"/>
      <w:szCs w:val="18"/>
    </w:rPr>
  </w:style>
  <w:style w:type="paragraph" w:styleId="11">
    <w:name w:val="footer"/>
    <w:basedOn w:val="1"/>
    <w:link w:val="26"/>
    <w:unhideWhenUsed/>
    <w:qFormat/>
    <w:uiPriority w:val="99"/>
    <w:pPr>
      <w:tabs>
        <w:tab w:val="center" w:pos="4153"/>
        <w:tab w:val="right" w:pos="8306"/>
      </w:tabs>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tabs>
        <w:tab w:val="right" w:leader="dot" w:pos="9356"/>
      </w:tabs>
      <w:ind w:firstLine="0" w:firstLineChars="0"/>
    </w:pPr>
    <w:rPr>
      <w:rFonts w:ascii="黑体" w:hAnsi="黑体" w:cs="仿宋_GB2312"/>
      <w:bCs/>
      <w:color w:val="000000"/>
      <w:kern w:val="0"/>
      <w:sz w:val="28"/>
      <w:szCs w:val="28"/>
    </w:rPr>
  </w:style>
  <w:style w:type="paragraph" w:styleId="14">
    <w:name w:val="footnote text"/>
    <w:basedOn w:val="1"/>
    <w:semiHidden/>
    <w:unhideWhenUsed/>
    <w:qFormat/>
    <w:uiPriority w:val="99"/>
    <w:pPr>
      <w:jc w:val="left"/>
    </w:pPr>
    <w:rPr>
      <w:sz w:val="18"/>
    </w:rPr>
  </w:style>
  <w:style w:type="paragraph" w:styleId="15">
    <w:name w:val="toc 2"/>
    <w:basedOn w:val="1"/>
    <w:next w:val="1"/>
    <w:semiHidden/>
    <w:unhideWhenUsed/>
    <w:qFormat/>
    <w:uiPriority w:val="39"/>
    <w:pPr>
      <w:ind w:firstLine="663" w:firstLineChars="150"/>
    </w:pPr>
    <w:rPr>
      <w:sz w:val="24"/>
    </w:rPr>
  </w:style>
  <w:style w:type="paragraph" w:styleId="16">
    <w:name w:val="Body Text 2"/>
    <w:basedOn w:val="1"/>
    <w:qFormat/>
    <w:uiPriority w:val="0"/>
    <w:pPr>
      <w:spacing w:after="120" w:line="480" w:lineRule="auto"/>
    </w:pPr>
    <w:rPr>
      <w:rFonts w:eastAsia="宋体"/>
    </w:rPr>
  </w:style>
  <w:style w:type="paragraph" w:styleId="17">
    <w:name w:val="Normal (Web)"/>
    <w:basedOn w:val="1"/>
    <w:semiHidden/>
    <w:unhideWhenUsed/>
    <w:qFormat/>
    <w:uiPriority w:val="99"/>
    <w:pPr>
      <w:spacing w:beforeAutospacing="1" w:afterAutospacing="1"/>
      <w:jc w:val="left"/>
    </w:pPr>
    <w:rPr>
      <w:kern w:val="0"/>
      <w:sz w:val="24"/>
    </w:rPr>
  </w:style>
  <w:style w:type="paragraph" w:styleId="18">
    <w:name w:val="annotation subject"/>
    <w:basedOn w:val="7"/>
    <w:next w:val="7"/>
    <w:link w:val="37"/>
    <w:semiHidden/>
    <w:unhideWhenUsed/>
    <w:qFormat/>
    <w:uiPriority w:val="99"/>
    <w:pPr>
      <w:jc w:val="left"/>
    </w:pPr>
    <w:rPr>
      <w:rFonts w:ascii="Times New Roman" w:hAnsi="Times New Roman" w:eastAsiaTheme="minorEastAsia"/>
      <w:b/>
      <w:bCs/>
      <w:kern w:val="2"/>
      <w:sz w:val="21"/>
      <w:szCs w:val="21"/>
    </w:rPr>
  </w:style>
  <w:style w:type="paragraph" w:styleId="19">
    <w:name w:val="Body Text First Indent 2"/>
    <w:basedOn w:val="9"/>
    <w:qFormat/>
    <w:uiPriority w:val="0"/>
    <w:pPr>
      <w:ind w:firstLine="42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annotation reference"/>
    <w:basedOn w:val="22"/>
    <w:semiHidden/>
    <w:unhideWhenUsed/>
    <w:qFormat/>
    <w:uiPriority w:val="99"/>
    <w:rPr>
      <w:sz w:val="21"/>
      <w:szCs w:val="21"/>
    </w:rPr>
  </w:style>
  <w:style w:type="character" w:customStyle="1" w:styleId="25">
    <w:name w:val="页眉 Char"/>
    <w:basedOn w:val="22"/>
    <w:link w:val="12"/>
    <w:qFormat/>
    <w:uiPriority w:val="99"/>
    <w:rPr>
      <w:sz w:val="18"/>
      <w:szCs w:val="18"/>
    </w:rPr>
  </w:style>
  <w:style w:type="character" w:customStyle="1" w:styleId="26">
    <w:name w:val="页脚 Char"/>
    <w:basedOn w:val="22"/>
    <w:link w:val="11"/>
    <w:qFormat/>
    <w:uiPriority w:val="99"/>
    <w:rPr>
      <w:sz w:val="18"/>
      <w:szCs w:val="18"/>
    </w:rPr>
  </w:style>
  <w:style w:type="paragraph" w:customStyle="1" w:styleId="27">
    <w:name w:val="闻政-正文二级标题"/>
    <w:basedOn w:val="6"/>
    <w:next w:val="28"/>
    <w:qFormat/>
    <w:uiPriority w:val="3"/>
    <w:pPr>
      <w:spacing w:before="120" w:after="60" w:line="500" w:lineRule="exact"/>
      <w:ind w:left="200" w:leftChars="200" w:firstLine="0" w:firstLineChars="0"/>
    </w:pPr>
    <w:rPr>
      <w:rFonts w:ascii="Times New Roman" w:hAnsi="Times New Roman"/>
      <w:sz w:val="28"/>
    </w:rPr>
  </w:style>
  <w:style w:type="paragraph" w:customStyle="1" w:styleId="28">
    <w:name w:val="闻政-正文段落文字"/>
    <w:basedOn w:val="1"/>
    <w:qFormat/>
    <w:uiPriority w:val="3"/>
    <w:pPr>
      <w:spacing w:line="500" w:lineRule="exact"/>
      <w:ind w:firstLine="200"/>
    </w:pPr>
    <w:rPr>
      <w:kern w:val="0"/>
      <w:szCs w:val="28"/>
    </w:rPr>
  </w:style>
  <w:style w:type="paragraph" w:customStyle="1" w:styleId="29">
    <w:name w:val="闻政-正文一级标题"/>
    <w:basedOn w:val="2"/>
    <w:next w:val="28"/>
    <w:qFormat/>
    <w:uiPriority w:val="3"/>
    <w:pPr>
      <w:spacing w:before="120" w:after="60" w:line="500" w:lineRule="exact"/>
      <w:ind w:firstLine="0" w:firstLineChars="0"/>
      <w:outlineLvl w:val="0"/>
    </w:pPr>
    <w:rPr>
      <w:rFonts w:ascii="黑体" w:hAnsi="黑体" w:eastAsia="黑体"/>
      <w:sz w:val="32"/>
    </w:rPr>
  </w:style>
  <w:style w:type="paragraph" w:styleId="30">
    <w:name w:val="List Paragraph"/>
    <w:basedOn w:val="1"/>
    <w:qFormat/>
    <w:uiPriority w:val="34"/>
    <w:pPr>
      <w:ind w:firstLine="420"/>
    </w:pPr>
  </w:style>
  <w:style w:type="paragraph" w:customStyle="1" w:styleId="31">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color="000000"/>
      <w:lang w:val="en-US" w:eastAsia="zh-CN" w:bidi="ar-SA"/>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font11"/>
    <w:basedOn w:val="22"/>
    <w:qFormat/>
    <w:uiPriority w:val="0"/>
    <w:rPr>
      <w:rFonts w:hint="eastAsia" w:ascii="宋体" w:hAnsi="宋体" w:eastAsia="宋体" w:cs="宋体"/>
      <w:color w:val="000000"/>
      <w:sz w:val="22"/>
      <w:szCs w:val="22"/>
      <w:u w:val="none"/>
    </w:rPr>
  </w:style>
  <w:style w:type="character" w:customStyle="1" w:styleId="35">
    <w:name w:val="批注框文本 Char"/>
    <w:basedOn w:val="22"/>
    <w:link w:val="10"/>
    <w:semiHidden/>
    <w:qFormat/>
    <w:uiPriority w:val="99"/>
    <w:rPr>
      <w:rFonts w:eastAsiaTheme="minorEastAsia"/>
      <w:kern w:val="2"/>
      <w:sz w:val="18"/>
      <w:szCs w:val="18"/>
    </w:rPr>
  </w:style>
  <w:style w:type="character" w:customStyle="1" w:styleId="36">
    <w:name w:val="批注文字 Char"/>
    <w:basedOn w:val="22"/>
    <w:link w:val="7"/>
    <w:qFormat/>
    <w:uiPriority w:val="99"/>
    <w:rPr>
      <w:rFonts w:ascii="Calibri" w:hAnsi="Calibri" w:eastAsia="仿宋"/>
      <w:sz w:val="24"/>
    </w:rPr>
  </w:style>
  <w:style w:type="character" w:customStyle="1" w:styleId="37">
    <w:name w:val="批注主题 Char"/>
    <w:basedOn w:val="36"/>
    <w:link w:val="18"/>
    <w:semiHidden/>
    <w:qFormat/>
    <w:uiPriority w:val="99"/>
    <w:rPr>
      <w:rFonts w:ascii="Calibri" w:hAnsi="Calibri" w:eastAsiaTheme="minorEastAsia"/>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4933</Words>
  <Characters>28119</Characters>
  <Lines>234</Lines>
  <Paragraphs>65</Paragraphs>
  <TotalTime>64</TotalTime>
  <ScaleCrop>false</ScaleCrop>
  <LinksUpToDate>false</LinksUpToDate>
  <CharactersWithSpaces>32987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2020-09-22T07:41:00Z</dcterms:created>
  <dc:creator>Lenovo</dc:creator>
  <cp:lastModifiedBy>Administrator</cp:lastModifiedBy>
  <dcterms:modified xsi:type="dcterms:W3CDTF">2023-08-24T08:10:10Z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39BC94C322C949FFB3F79CBB4C635A05_13</vt:lpwstr>
  </property>
</Properties>
</file>