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20" w:type="dxa"/>
        <w:tblInd w:w="-7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30"/>
        <w:gridCol w:w="1065"/>
        <w:gridCol w:w="1245"/>
        <w:gridCol w:w="3734"/>
        <w:gridCol w:w="1546"/>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trPr>
        <w:tc>
          <w:tcPr>
            <w:tcW w:w="324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left"/>
              <w:textAlignment w:val="center"/>
              <w:rPr>
                <w:rFonts w:hint="default" w:ascii="宋体" w:hAnsi="宋体" w:eastAsia="宋体" w:cs="宋体"/>
                <w:i w:val="0"/>
                <w:color w:val="000000"/>
                <w:sz w:val="24"/>
                <w:szCs w:val="24"/>
                <w:u w:val="none"/>
                <w:lang w:val="en-US"/>
              </w:rPr>
            </w:pPr>
            <w:r>
              <w:rPr>
                <w:rFonts w:hint="default" w:ascii="Times New Roman" w:hAnsi="Times New Roman" w:eastAsia="仿宋_GB2312" w:cs="Times New Roman"/>
                <w:i w:val="0"/>
                <w:color w:val="000000"/>
                <w:kern w:val="0"/>
                <w:sz w:val="28"/>
                <w:szCs w:val="28"/>
                <w:u w:val="none"/>
                <w:lang w:val="en-US" w:eastAsia="zh-CN" w:bidi="ar"/>
              </w:rPr>
              <w:t>附件2</w:t>
            </w:r>
            <w:r>
              <w:rPr>
                <w:rFonts w:hint="eastAsia" w:eastAsia="仿宋_GB2312" w:cs="Times New Roman"/>
                <w:i w:val="0"/>
                <w:color w:val="000000"/>
                <w:kern w:val="0"/>
                <w:sz w:val="28"/>
                <w:szCs w:val="28"/>
                <w:u w:val="none"/>
                <w:lang w:val="en-US" w:eastAsia="zh-CN" w:bidi="ar"/>
              </w:rPr>
              <w:t>.</w:t>
            </w:r>
          </w:p>
        </w:tc>
        <w:tc>
          <w:tcPr>
            <w:tcW w:w="3734" w:type="dxa"/>
            <w:tcBorders>
              <w:top w:val="nil"/>
              <w:left w:val="nil"/>
              <w:bottom w:val="nil"/>
              <w:right w:val="nil"/>
            </w:tcBorders>
            <w:shd w:val="clear" w:color="auto" w:fill="auto"/>
            <w:noWrap/>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rPr>
                <w:rFonts w:hint="eastAsia" w:ascii="宋体" w:hAnsi="宋体" w:eastAsia="宋体" w:cs="宋体"/>
                <w:i w:val="0"/>
                <w:color w:val="000000"/>
                <w:sz w:val="22"/>
                <w:szCs w:val="22"/>
                <w:u w:val="none"/>
              </w:rPr>
            </w:pPr>
          </w:p>
        </w:tc>
        <w:tc>
          <w:tcPr>
            <w:tcW w:w="1546" w:type="dxa"/>
            <w:tcBorders>
              <w:top w:val="nil"/>
              <w:left w:val="nil"/>
              <w:bottom w:val="nil"/>
              <w:right w:val="nil"/>
            </w:tcBorders>
            <w:shd w:val="clear" w:color="auto" w:fill="auto"/>
            <w:noWrap/>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rPr>
                <w:rFonts w:hint="eastAsia" w:ascii="宋体" w:hAnsi="宋体" w:eastAsia="宋体" w:cs="宋体"/>
                <w:i w:val="0"/>
                <w:color w:val="000000"/>
                <w:sz w:val="22"/>
                <w:szCs w:val="22"/>
                <w:u w:val="none"/>
              </w:rPr>
            </w:pPr>
          </w:p>
        </w:tc>
        <w:tc>
          <w:tcPr>
            <w:tcW w:w="1500" w:type="dxa"/>
            <w:tcBorders>
              <w:top w:val="nil"/>
              <w:left w:val="nil"/>
              <w:bottom w:val="nil"/>
              <w:right w:val="nil"/>
            </w:tcBorders>
            <w:shd w:val="clear" w:color="auto" w:fill="auto"/>
            <w:noWrap/>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1002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ascii="方正仿宋_GBK" w:hAnsi="方正仿宋_GBK" w:eastAsia="方正仿宋_GBK" w:cs="方正仿宋_GBK"/>
                <w:b/>
                <w:i w:val="0"/>
                <w:color w:val="000000"/>
                <w:sz w:val="32"/>
                <w:szCs w:val="32"/>
                <w:u w:val="none"/>
              </w:rPr>
            </w:pPr>
            <w:r>
              <w:rPr>
                <w:rFonts w:hint="default" w:ascii="Times New Roman" w:hAnsi="Times New Roman" w:eastAsia="方正小标宋简体" w:cs="Times New Roman"/>
                <w:b w:val="0"/>
                <w:bCs/>
                <w:i w:val="0"/>
                <w:color w:val="000000"/>
                <w:kern w:val="0"/>
                <w:sz w:val="36"/>
                <w:szCs w:val="36"/>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项目名称</w:t>
            </w:r>
          </w:p>
        </w:tc>
        <w:tc>
          <w:tcPr>
            <w:tcW w:w="6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困难群众救助补助资金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地区主管部门</w:t>
            </w:r>
          </w:p>
        </w:tc>
        <w:tc>
          <w:tcPr>
            <w:tcW w:w="6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县级财政部门</w:t>
            </w:r>
          </w:p>
        </w:tc>
        <w:tc>
          <w:tcPr>
            <w:tcW w:w="3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巴楚县财政局</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县级主管部门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巴楚县民政局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32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资金情况（万元）</w:t>
            </w:r>
          </w:p>
        </w:tc>
        <w:tc>
          <w:tcPr>
            <w:tcW w:w="3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年度资金：</w:t>
            </w:r>
          </w:p>
        </w:tc>
        <w:tc>
          <w:tcPr>
            <w:tcW w:w="30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3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其中：中央财政下达</w:t>
            </w:r>
          </w:p>
        </w:tc>
        <w:tc>
          <w:tcPr>
            <w:tcW w:w="30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总体目标</w:t>
            </w:r>
          </w:p>
        </w:tc>
        <w:tc>
          <w:tcPr>
            <w:tcW w:w="9090" w:type="dxa"/>
            <w:gridSpan w:val="5"/>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N/>
              <w:bidi w:val="0"/>
              <w:adjustRightInd/>
              <w:snapToGrid/>
              <w:spacing w:line="560" w:lineRule="exact"/>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规范城乡低保政策实施，合理确定保障标准，使低保对象基本生活得到有效保障。2.统筹城乡特困人员救助供养工作，合理确定保障标准。3.规范实施临时救助政策，实现及时高效、救急解难。 4.为生活无着流浪乞讨人员提供临时食宿、疾病救治、协助返回等救助，并妥善安置返乡受助人员。5.对流浪未成年人提供特殊优先保护及教育等专业服务，确保其健康成长。6.对农村留守儿童、困境儿童等存在流浪风险的未成年人及流浪乞讨儿童开展家庭监护评估、监护支持、精神关爱等工作，为其提供临时照料、医疗救治、心理疏导、社会融入、家庭关系调试、法律援助等专业服务，从源头上预防未成年人外出流浪。7.引导地方提高孤儿生活保障水平，孤儿生活保障政策高效实施，使孤儿、艾滋病病毒感染儿童和事实无人抚养儿童基本生活得到保障</w:t>
            </w:r>
            <w:r>
              <w:rPr>
                <w:rFonts w:hint="eastAsia" w:eastAsia="仿宋_GB2312" w:cs="Times New Roman"/>
                <w:i w:val="0"/>
                <w:color w:val="000000"/>
                <w:kern w:val="0"/>
                <w:sz w:val="20"/>
                <w:szCs w:val="20"/>
                <w:u w:val="none"/>
                <w:lang w:val="en-US" w:eastAsia="zh-CN" w:bidi="ar"/>
              </w:rPr>
              <w:t>。</w:t>
            </w:r>
            <w:bookmarkStart w:id="0" w:name="_GoBack"/>
            <w:bookmarkEnd w:id="0"/>
            <w:r>
              <w:rPr>
                <w:rFonts w:hint="default" w:ascii="Times New Roman" w:hAnsi="Times New Roman" w:eastAsia="仿宋_GB2312" w:cs="Times New Roman"/>
                <w:i w:val="0"/>
                <w:color w:val="000000"/>
                <w:kern w:val="0"/>
                <w:sz w:val="20"/>
                <w:szCs w:val="20"/>
                <w:u w:val="none"/>
                <w:lang w:val="en-US" w:eastAsia="zh-CN" w:bidi="ar"/>
              </w:rPr>
              <w:t>8.积极为走失、务工不着、家庭暴力受害者等离家在外人员提供帮助。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9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9090" w:type="dxa"/>
            <w:gridSpan w:val="5"/>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left"/>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9090" w:type="dxa"/>
            <w:gridSpan w:val="5"/>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left"/>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9090" w:type="dxa"/>
            <w:gridSpan w:val="5"/>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left"/>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9090" w:type="dxa"/>
            <w:gridSpan w:val="5"/>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left"/>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9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9090" w:type="dxa"/>
            <w:gridSpan w:val="5"/>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left"/>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绩效指标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二级指标</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产出指标</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数量指标</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城乡居民低保保障率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特困供养保障率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求助的流浪乞讨人员救助率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4"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孤儿、艾滋病病毒感染儿童、生活困难家庭中的和纳入特困人员救助供养范围的事实无人抚养儿童纳入保障范围率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患病孤残儿童救助率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质量指标</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城乡低保标准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稳步提高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城乡特困人员救助供养标准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临时救助水平</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建立社会救助家庭居民经济状况核对机制的县（市、区）比例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孤儿、艾滋病病毒感染儿童、事实无人抚养儿童认定准确率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时效指标</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向本行政区域各级民政部门下达中央财政困难群众救助补助资金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收到补助资金后30日内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困难群众基本生活救助和孤儿基本生活费按时发放率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流浪乞讨人员求助要求当天登记救助率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成本指标</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低保资金社会化发放率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流浪乞讨人员救助执行当地支出标准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效益指标</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社会效益</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困难群众生活水平情况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帮助查明身份滞留流浪乞讨人员返乡情况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及时送返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为走失、务工不着、家庭暴力受害者等离家在外的临时遇困人员提供救助服务率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可持续影响指标</w:t>
            </w:r>
          </w:p>
        </w:tc>
        <w:tc>
          <w:tcPr>
            <w:tcW w:w="5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困难群众基本生活救助和孤儿基本生活保障制度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满意度指标</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服务对象满意度指标</w:t>
            </w:r>
          </w:p>
        </w:tc>
        <w:tc>
          <w:tcPr>
            <w:tcW w:w="52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政策知晓率</w:t>
            </w:r>
          </w:p>
        </w:tc>
        <w:tc>
          <w:tcPr>
            <w:tcW w:w="15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救助对象对社会救助实施的满意度</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560" w:lineRule="exact"/>
              <w:jc w:val="center"/>
              <w:textAlignment w:val="center"/>
              <w:rPr>
                <w:rFonts w:hint="default" w:ascii="Times New Roman" w:hAnsi="Times New Roman" w:eastAsia="仿宋_GB2312"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52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pageBreakBefore w:val="0"/>
              <w:kinsoku/>
              <w:wordWrap/>
              <w:overflowPunct/>
              <w:topLinePunct w:val="0"/>
              <w:autoSpaceDN/>
              <w:bidi w:val="0"/>
              <w:adjustRightInd/>
              <w:snapToGrid/>
              <w:spacing w:line="560" w:lineRule="exact"/>
              <w:jc w:val="center"/>
              <w:rPr>
                <w:rFonts w:hint="default" w:ascii="Times New Roman" w:hAnsi="Times New Roman" w:eastAsia="仿宋_GB2312" w:cs="Times New Roman"/>
                <w:i w:val="0"/>
                <w:color w:val="000000"/>
                <w:sz w:val="20"/>
                <w:szCs w:val="20"/>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8F0CC"/>
    <w:multiLevelType w:val="singleLevel"/>
    <w:tmpl w:val="8C88F0CC"/>
    <w:lvl w:ilvl="0" w:tentative="0">
      <w:start w:val="1"/>
      <w:numFmt w:val="decimal"/>
      <w:lvlText w:val="%1."/>
      <w:lvlJc w:val="left"/>
      <w:pPr>
        <w:tabs>
          <w:tab w:val="left" w:pos="312"/>
        </w:tabs>
      </w:pPr>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lvlRestart w:val="0"/>
      <w:suff w:val="nothing"/>
      <w:lvlText w:val=""/>
      <w:lvlJc w:val="left"/>
      <w:pPr>
        <w:tabs>
          <w:tab w:val="left" w:pos="0"/>
        </w:tabs>
        <w:ind w:left="992" w:hanging="992"/>
      </w:pPr>
    </w:lvl>
    <w:lvl w:ilvl="2" w:tentative="0">
      <w:start w:val="1"/>
      <w:numFmt w:val="none"/>
      <w:lvlRestart w:val="0"/>
      <w:pStyle w:val="2"/>
      <w:suff w:val="nothing"/>
      <w:lvlText w:val=""/>
      <w:lvlJc w:val="left"/>
      <w:pPr>
        <w:tabs>
          <w:tab w:val="left" w:pos="0"/>
        </w:tabs>
        <w:ind w:left="1418" w:hanging="1418"/>
      </w:pPr>
    </w:lvl>
    <w:lvl w:ilvl="3" w:tentative="0">
      <w:start w:val="1"/>
      <w:numFmt w:val="none"/>
      <w:lvlRestart w:val="0"/>
      <w:suff w:val="nothing"/>
      <w:lvlText w:val=""/>
      <w:lvlJc w:val="left"/>
      <w:pPr>
        <w:tabs>
          <w:tab w:val="left" w:pos="0"/>
        </w:tabs>
        <w:ind w:left="1984" w:hanging="1984"/>
      </w:pPr>
    </w:lvl>
    <w:lvl w:ilvl="4" w:tentative="0">
      <w:start w:val="1"/>
      <w:numFmt w:val="none"/>
      <w:lvlRestart w:val="0"/>
      <w:suff w:val="nothing"/>
      <w:lvlText w:val=""/>
      <w:lvlJc w:val="left"/>
      <w:pPr>
        <w:tabs>
          <w:tab w:val="left" w:pos="0"/>
        </w:tabs>
        <w:ind w:left="2551" w:hanging="2551"/>
      </w:pPr>
    </w:lvl>
    <w:lvl w:ilvl="5" w:tentative="0">
      <w:start w:val="1"/>
      <w:numFmt w:val="none"/>
      <w:lvlRestart w:val="0"/>
      <w:suff w:val="nothing"/>
      <w:lvlText w:val=""/>
      <w:lvlJc w:val="left"/>
      <w:pPr>
        <w:tabs>
          <w:tab w:val="left" w:pos="0"/>
        </w:tabs>
        <w:ind w:left="3260" w:hanging="3260"/>
      </w:pPr>
    </w:lvl>
    <w:lvl w:ilvl="6" w:tentative="0">
      <w:start w:val="1"/>
      <w:numFmt w:val="none"/>
      <w:lvlRestart w:val="0"/>
      <w:suff w:val="nothing"/>
      <w:lvlText w:val=""/>
      <w:lvlJc w:val="left"/>
      <w:pPr>
        <w:tabs>
          <w:tab w:val="left" w:pos="0"/>
        </w:tabs>
        <w:ind w:left="3827" w:hanging="3827"/>
      </w:pPr>
    </w:lvl>
    <w:lvl w:ilvl="7" w:tentative="0">
      <w:start w:val="1"/>
      <w:numFmt w:val="none"/>
      <w:lvlRestart w:val="0"/>
      <w:suff w:val="nothing"/>
      <w:lvlText w:val=""/>
      <w:lvlJc w:val="left"/>
      <w:pPr>
        <w:tabs>
          <w:tab w:val="left" w:pos="0"/>
        </w:tabs>
        <w:ind w:left="4394" w:hanging="4394"/>
      </w:pPr>
    </w:lvl>
    <w:lvl w:ilvl="8" w:tentative="0">
      <w:start w:val="1"/>
      <w:numFmt w:val="none"/>
      <w:lvlRestart w:val="0"/>
      <w:suff w:val="nothing"/>
      <w:lvlText w:val=""/>
      <w:lvlJc w:val="left"/>
      <w:pPr>
        <w:tabs>
          <w:tab w:val="left" w:pos="0"/>
        </w:tabs>
        <w:ind w:left="5102" w:hanging="510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TY1NTUyMTcxODA5YWNkZGJmOTIzNjQxYmVjNzYifQ=="/>
  </w:docVars>
  <w:rsids>
    <w:rsidRoot w:val="00000000"/>
    <w:rsid w:val="22BE2D1E"/>
    <w:rsid w:val="714B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qFormat/>
    <w:uiPriority w:val="2"/>
    <w:pPr>
      <w:keepLines/>
      <w:numPr>
        <w:ilvl w:val="2"/>
        <w:numId w:val="1"/>
      </w:numPr>
      <w:spacing w:before="260" w:after="260" w:line="408" w:lineRule="auto"/>
      <w:outlineLvl w:val="2"/>
    </w:pPr>
    <w:rPr>
      <w:rFonts w:ascii="Times New Roman" w:hAnsi="Times New Roman" w:eastAsia="宋体" w:cs="Tahoma"/>
      <w:b/>
      <w:bCs/>
      <w:sz w:val="32"/>
      <w:szCs w:val="32"/>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2024-01-10T10:00:00Z</dcterms:created>
  <dc:creator>Administrator</dc:creator>
  <cp:lastModifiedBy>Administrator</cp:lastModifiedBy>
  <dcterms:modified xsi:type="dcterms:W3CDTF">2024-01-17T10:21:41Z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B3F27F72B18A4D8F882CA8C96F258725_12</vt:lpwstr>
  </property>
</Properties>
</file>