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945" w:type="dxa"/>
        <w:tblInd w:w="-78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25"/>
        <w:gridCol w:w="1200"/>
        <w:gridCol w:w="1290"/>
        <w:gridCol w:w="2273"/>
        <w:gridCol w:w="1667"/>
        <w:gridCol w:w="1295"/>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9" w:hRule="atLeast"/>
        </w:trPr>
        <w:tc>
          <w:tcPr>
            <w:tcW w:w="3615"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default" w:ascii="Times New Roman" w:hAnsi="Times New Roman" w:eastAsia="仿宋_GB2312" w:cs="Times New Roman"/>
                <w:i w:val="0"/>
                <w:color w:val="000000"/>
                <w:kern w:val="0"/>
                <w:sz w:val="30"/>
                <w:szCs w:val="30"/>
                <w:u w:val="none"/>
                <w:lang w:val="en-US" w:eastAsia="zh-CN" w:bidi="ar"/>
              </w:rPr>
              <w:t>附件2</w:t>
            </w:r>
            <w:r>
              <w:rPr>
                <w:rFonts w:hint="eastAsia" w:eastAsia="仿宋_GB2312" w:cs="Times New Roman"/>
                <w:i w:val="0"/>
                <w:color w:val="000000"/>
                <w:kern w:val="0"/>
                <w:sz w:val="30"/>
                <w:szCs w:val="30"/>
                <w:u w:val="none"/>
                <w:lang w:val="en-US" w:eastAsia="zh-CN" w:bidi="ar"/>
              </w:rPr>
              <w:t>.</w:t>
            </w:r>
            <w:bookmarkStart w:id="0" w:name="_GoBack"/>
            <w:bookmarkEnd w:id="0"/>
          </w:p>
        </w:tc>
        <w:tc>
          <w:tcPr>
            <w:tcW w:w="227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66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29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09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9" w:hRule="atLeast"/>
        </w:trPr>
        <w:tc>
          <w:tcPr>
            <w:tcW w:w="994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仿宋_GBK" w:hAnsi="方正仿宋_GBK" w:eastAsia="方正仿宋_GBK" w:cs="方正仿宋_GBK"/>
                <w:b/>
                <w:i w:val="0"/>
                <w:color w:val="000000"/>
                <w:sz w:val="28"/>
                <w:szCs w:val="28"/>
                <w:u w:val="none"/>
              </w:rPr>
            </w:pPr>
            <w:r>
              <w:rPr>
                <w:rStyle w:val="5"/>
                <w:lang w:val="en-US" w:eastAsia="zh-CN" w:bidi="ar"/>
              </w:rPr>
              <w:t>自治区对地方转移支付绩效目标表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trPr>
        <w:tc>
          <w:tcPr>
            <w:tcW w:w="3615"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项目名称</w:t>
            </w:r>
          </w:p>
        </w:tc>
        <w:tc>
          <w:tcPr>
            <w:tcW w:w="6330" w:type="dxa"/>
            <w:gridSpan w:val="4"/>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自治区困难群众救助补助资金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4" w:hRule="atLeast"/>
        </w:trPr>
        <w:tc>
          <w:tcPr>
            <w:tcW w:w="3615"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预算单位</w:t>
            </w:r>
          </w:p>
        </w:tc>
        <w:tc>
          <w:tcPr>
            <w:tcW w:w="3940"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巴楚县民政局</w:t>
            </w:r>
          </w:p>
        </w:tc>
        <w:tc>
          <w:tcPr>
            <w:tcW w:w="1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项目负责人</w:t>
            </w:r>
          </w:p>
        </w:tc>
        <w:tc>
          <w:tcPr>
            <w:tcW w:w="109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lang w:val="en-US"/>
              </w:rPr>
            </w:pPr>
            <w:r>
              <w:rPr>
                <w:rFonts w:hint="default" w:ascii="Times New Roman" w:hAnsi="Times New Roman" w:eastAsia="宋体" w:cs="Times New Roman"/>
                <w:i w:val="0"/>
                <w:color w:val="000000"/>
                <w:kern w:val="0"/>
                <w:sz w:val="16"/>
                <w:szCs w:val="16"/>
                <w:u w:val="none"/>
                <w:lang w:val="en-US" w:eastAsia="zh-CN" w:bidi="ar"/>
              </w:rPr>
              <w:t>孙亚飞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3615" w:type="dxa"/>
            <w:gridSpan w:val="3"/>
            <w:vMerge w:val="restart"/>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项目资金（万元）</w:t>
            </w:r>
          </w:p>
        </w:tc>
        <w:tc>
          <w:tcPr>
            <w:tcW w:w="6330" w:type="dxa"/>
            <w:gridSpan w:val="4"/>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年度预算总额：1236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4" w:hRule="atLeast"/>
        </w:trPr>
        <w:tc>
          <w:tcPr>
            <w:tcW w:w="3615" w:type="dxa"/>
            <w:gridSpan w:val="3"/>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c>
          <w:tcPr>
            <w:tcW w:w="6330" w:type="dxa"/>
            <w:gridSpan w:val="4"/>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其中：财政拨款：1236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33" w:hRule="atLeast"/>
        </w:trPr>
        <w:tc>
          <w:tcPr>
            <w:tcW w:w="112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年度总体目标</w:t>
            </w:r>
          </w:p>
        </w:tc>
        <w:tc>
          <w:tcPr>
            <w:tcW w:w="8820" w:type="dxa"/>
            <w:gridSpan w:val="6"/>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1.规范城乡低保政策实施，合理确定保障标准，使低保对象基本生活得到有效保障。2.统筹城乡特困人员救助供养工作，合理确定保障标准。3.规范实施临时救助政策，实现及时高效、救急解难。4.为生活无着流浪乞讨人员提供临时食宿、疾病救治、协助返回等救助，并妥善安置返乡受助人员。5.对流浪未成年人提供特殊优先保护及教育等专业服务，确保其健康成长。6.对农村留守儿童、困境儿童等存在流浪风险的未成年人以及流浪乞讨儿童开展家庭监护评估、监护支持、精神关爱等工作，为其提供临时照料、医疗救治、心理疏导、行为矫治、社会融入、家庭关系调试、法律援助等专业服务，从源头上预防未成年人外出流浪。7.引导地方提高孤儿生活保障水平，孤儿生活保障政策规范高效实施，使孤儿、艾滋病病毒感染儿童和事实无人抚养儿童生活基本得到保障。8.积极为走失、务工不着、家庭暴力受害者等离家在外的临时遇困人员提供救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6" w:hRule="atLeast"/>
        </w:trPr>
        <w:tc>
          <w:tcPr>
            <w:tcW w:w="1125"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绩效指标</w:t>
            </w:r>
          </w:p>
        </w:tc>
        <w:tc>
          <w:tcPr>
            <w:tcW w:w="1200" w:type="dxa"/>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一级指标</w:t>
            </w:r>
          </w:p>
        </w:tc>
        <w:tc>
          <w:tcPr>
            <w:tcW w:w="1290"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二级指标</w:t>
            </w:r>
          </w:p>
        </w:tc>
        <w:tc>
          <w:tcPr>
            <w:tcW w:w="5235" w:type="dxa"/>
            <w:gridSpan w:val="3"/>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三级指标</w:t>
            </w:r>
          </w:p>
        </w:tc>
        <w:tc>
          <w:tcPr>
            <w:tcW w:w="1095" w:type="dxa"/>
            <w:tcBorders>
              <w:top w:val="nil"/>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c>
          <w:tcPr>
            <w:tcW w:w="1200"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产出指标</w:t>
            </w:r>
          </w:p>
        </w:tc>
        <w:tc>
          <w:tcPr>
            <w:tcW w:w="1290"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数量指标</w:t>
            </w:r>
          </w:p>
        </w:tc>
        <w:tc>
          <w:tcPr>
            <w:tcW w:w="5235" w:type="dxa"/>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城乡居民低保保障率</w:t>
            </w:r>
          </w:p>
        </w:tc>
        <w:tc>
          <w:tcPr>
            <w:tcW w:w="109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应保尽保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52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特困供养保障率</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适度提高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52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求助的流浪乞讨人员救助率</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仿宋_GB2312" w:cs="Times New Roman"/>
                <w:i w:val="0"/>
                <w:color w:val="000000"/>
                <w:kern w:val="0"/>
                <w:sz w:val="16"/>
                <w:szCs w:val="16"/>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52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符合条件的儿童纳入保障范围率</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仿宋_GB2312" w:cs="Times New Roman"/>
                <w:i w:val="0"/>
                <w:color w:val="000000"/>
                <w:kern w:val="0"/>
                <w:sz w:val="16"/>
                <w:szCs w:val="16"/>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1"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52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患病孤残儿童救助率</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仿宋_GB2312" w:cs="Times New Roman"/>
                <w:i w:val="0"/>
                <w:color w:val="000000"/>
                <w:kern w:val="0"/>
                <w:sz w:val="16"/>
                <w:szCs w:val="16"/>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129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质量指标</w:t>
            </w:r>
          </w:p>
        </w:tc>
        <w:tc>
          <w:tcPr>
            <w:tcW w:w="52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城乡低保标准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稳步提高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129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52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城乡特困人员救助供养标准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不低于上年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129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52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临时救助水平</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不低于上年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6"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129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52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建立社会救助家庭居民经济状况核对机制的县（市、区）比例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仿宋_GB2312" w:cs="Times New Roman"/>
                <w:i w:val="0"/>
                <w:color w:val="000000"/>
                <w:kern w:val="0"/>
                <w:sz w:val="16"/>
                <w:szCs w:val="16"/>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1"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129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52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符合条件的儿童认定准确率</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仿宋_GB2312" w:cs="Times New Roman"/>
                <w:i w:val="0"/>
                <w:color w:val="000000"/>
                <w:kern w:val="0"/>
                <w:sz w:val="16"/>
                <w:szCs w:val="16"/>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6"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时效指标</w:t>
            </w:r>
          </w:p>
        </w:tc>
        <w:tc>
          <w:tcPr>
            <w:tcW w:w="52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向本行政区域县级以上各级财政部门下达中央财政困难群众救助补助资金</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收到补助资金后30日内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52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困难群众基本生活救助和孤儿基本生活费按时发放率</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仿宋_GB2312" w:cs="Times New Roman"/>
                <w:i w:val="0"/>
                <w:color w:val="000000"/>
                <w:kern w:val="0"/>
                <w:sz w:val="16"/>
                <w:szCs w:val="16"/>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52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流浪乞讨人员求助要求当天登记救助率</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仿宋_GB2312" w:cs="Times New Roman"/>
                <w:i w:val="0"/>
                <w:color w:val="000000"/>
                <w:kern w:val="0"/>
                <w:sz w:val="16"/>
                <w:szCs w:val="16"/>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成本指标</w:t>
            </w:r>
          </w:p>
        </w:tc>
        <w:tc>
          <w:tcPr>
            <w:tcW w:w="52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低保资金社会化发放率</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仿宋_GB2312" w:cs="Times New Roman"/>
                <w:i w:val="0"/>
                <w:color w:val="000000"/>
                <w:kern w:val="0"/>
                <w:sz w:val="16"/>
                <w:szCs w:val="16"/>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52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流浪乞讨人员救助执行当地支出标准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仿宋_GB2312" w:cs="Times New Roman"/>
                <w:i w:val="0"/>
                <w:color w:val="000000"/>
                <w:kern w:val="0"/>
                <w:sz w:val="16"/>
                <w:szCs w:val="16"/>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1"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效益指标</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社会效益</w:t>
            </w:r>
          </w:p>
        </w:tc>
        <w:tc>
          <w:tcPr>
            <w:tcW w:w="52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困难群众生活水平情况</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有所提升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52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帮助查明身份滞留流浪乞讨人员返乡情况</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及时送返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52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为走失、务工不着、家庭暴力受害者等离家在外的临时遇困人员提供救助服务率</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仿宋_GB2312" w:cs="Times New Roman"/>
                <w:i w:val="0"/>
                <w:color w:val="000000"/>
                <w:kern w:val="0"/>
                <w:sz w:val="16"/>
                <w:szCs w:val="16"/>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可持续影响指标</w:t>
            </w:r>
          </w:p>
        </w:tc>
        <w:tc>
          <w:tcPr>
            <w:tcW w:w="52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困难群众基本生活救助和孤儿基本生活保障制度</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进一步完善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满意度指标</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服务对象满意度指标</w:t>
            </w:r>
          </w:p>
        </w:tc>
        <w:tc>
          <w:tcPr>
            <w:tcW w:w="52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政策知晓率</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仿宋_GB2312" w:cs="Times New Roman"/>
                <w:i w:val="0"/>
                <w:color w:val="000000"/>
                <w:kern w:val="0"/>
                <w:sz w:val="16"/>
                <w:szCs w:val="16"/>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6"/>
                <w:szCs w:val="16"/>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6"/>
                <w:szCs w:val="16"/>
                <w:u w:val="none"/>
              </w:rPr>
            </w:pPr>
          </w:p>
        </w:tc>
        <w:tc>
          <w:tcPr>
            <w:tcW w:w="52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default" w:ascii="Times New Roman" w:hAnsi="Times New Roman" w:eastAsia="仿宋_GB2312" w:cs="Times New Roman"/>
                <w:i w:val="0"/>
                <w:color w:val="000000"/>
                <w:kern w:val="0"/>
                <w:sz w:val="16"/>
                <w:szCs w:val="16"/>
                <w:u w:val="none"/>
                <w:lang w:val="en-US" w:eastAsia="zh-CN" w:bidi="ar"/>
              </w:rPr>
              <w:t>救助对象对社会救助实施的满意度</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仿宋_GB2312" w:cs="Times New Roman"/>
                <w:i w:val="0"/>
                <w:color w:val="000000"/>
                <w:kern w:val="0"/>
                <w:sz w:val="16"/>
                <w:szCs w:val="16"/>
                <w:u w:val="none"/>
                <w:lang w:val="en-US" w:eastAsia="zh-CN" w:bidi="ar"/>
              </w:rPr>
              <w:t>85%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lvlRestart w:val="0"/>
      <w:suff w:val="nothing"/>
      <w:lvlText w:val=""/>
      <w:lvlJc w:val="left"/>
      <w:pPr>
        <w:tabs>
          <w:tab w:val="left" w:pos="0"/>
        </w:tabs>
        <w:ind w:left="992" w:hanging="992"/>
      </w:pPr>
    </w:lvl>
    <w:lvl w:ilvl="2" w:tentative="0">
      <w:start w:val="1"/>
      <w:numFmt w:val="none"/>
      <w:lvlRestart w:val="0"/>
      <w:pStyle w:val="2"/>
      <w:suff w:val="nothing"/>
      <w:lvlText w:val=""/>
      <w:lvlJc w:val="left"/>
      <w:pPr>
        <w:tabs>
          <w:tab w:val="left" w:pos="0"/>
        </w:tabs>
        <w:ind w:left="1418" w:hanging="1418"/>
      </w:pPr>
    </w:lvl>
    <w:lvl w:ilvl="3" w:tentative="0">
      <w:start w:val="1"/>
      <w:numFmt w:val="none"/>
      <w:lvlRestart w:val="0"/>
      <w:suff w:val="nothing"/>
      <w:lvlText w:val=""/>
      <w:lvlJc w:val="left"/>
      <w:pPr>
        <w:tabs>
          <w:tab w:val="left" w:pos="0"/>
        </w:tabs>
        <w:ind w:left="1984" w:hanging="1984"/>
      </w:pPr>
    </w:lvl>
    <w:lvl w:ilvl="4" w:tentative="0">
      <w:start w:val="1"/>
      <w:numFmt w:val="none"/>
      <w:lvlRestart w:val="0"/>
      <w:suff w:val="nothing"/>
      <w:lvlText w:val=""/>
      <w:lvlJc w:val="left"/>
      <w:pPr>
        <w:tabs>
          <w:tab w:val="left" w:pos="0"/>
        </w:tabs>
        <w:ind w:left="2551" w:hanging="2551"/>
      </w:pPr>
    </w:lvl>
    <w:lvl w:ilvl="5" w:tentative="0">
      <w:start w:val="1"/>
      <w:numFmt w:val="none"/>
      <w:lvlRestart w:val="0"/>
      <w:suff w:val="nothing"/>
      <w:lvlText w:val=""/>
      <w:lvlJc w:val="left"/>
      <w:pPr>
        <w:tabs>
          <w:tab w:val="left" w:pos="0"/>
        </w:tabs>
        <w:ind w:left="3260" w:hanging="3260"/>
      </w:pPr>
    </w:lvl>
    <w:lvl w:ilvl="6" w:tentative="0">
      <w:start w:val="1"/>
      <w:numFmt w:val="none"/>
      <w:lvlRestart w:val="0"/>
      <w:suff w:val="nothing"/>
      <w:lvlText w:val=""/>
      <w:lvlJc w:val="left"/>
      <w:pPr>
        <w:tabs>
          <w:tab w:val="left" w:pos="0"/>
        </w:tabs>
        <w:ind w:left="3827" w:hanging="3827"/>
      </w:pPr>
    </w:lvl>
    <w:lvl w:ilvl="7" w:tentative="0">
      <w:start w:val="1"/>
      <w:numFmt w:val="none"/>
      <w:lvlRestart w:val="0"/>
      <w:suff w:val="nothing"/>
      <w:lvlText w:val=""/>
      <w:lvlJc w:val="left"/>
      <w:pPr>
        <w:tabs>
          <w:tab w:val="left" w:pos="0"/>
        </w:tabs>
        <w:ind w:left="4394" w:hanging="4394"/>
      </w:pPr>
    </w:lvl>
    <w:lvl w:ilvl="8" w:tentative="0">
      <w:start w:val="1"/>
      <w:numFmt w:val="none"/>
      <w:lvlRestart w:val="0"/>
      <w:suff w:val="nothing"/>
      <w:lvlText w:val=""/>
      <w:lvlJc w:val="left"/>
      <w:pPr>
        <w:tabs>
          <w:tab w:val="left" w:pos="0"/>
        </w:tabs>
        <w:ind w:left="5102" w:hanging="51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3NTY1NTUyMTcxODA5YWNkZGJmOTIzNjQxYmVjNzYifQ=="/>
  </w:docVars>
  <w:rsids>
    <w:rsidRoot w:val="00000000"/>
    <w:rsid w:val="0B157DE7"/>
    <w:rsid w:val="54974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2"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2"/>
    <w:pPr>
      <w:keepLines/>
      <w:numPr>
        <w:ilvl w:val="2"/>
        <w:numId w:val="1"/>
      </w:numPr>
      <w:spacing w:before="260" w:after="260" w:line="408" w:lineRule="auto"/>
      <w:outlineLvl w:val="2"/>
    </w:pPr>
    <w:rPr>
      <w:rFonts w:ascii="Times New Roman" w:hAnsi="Times New Roman" w:eastAsia="宋体" w:cs="Tahoma"/>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font41"/>
    <w:basedOn w:val="4"/>
    <w:qFormat/>
    <w:uiPriority w:val="0"/>
    <w:rPr>
      <w:rFonts w:hint="default" w:ascii="Times New Roman" w:hAnsi="Times New Roman" w:cs="Times New Roman"/>
      <w:b/>
      <w:color w:val="000000"/>
      <w:sz w:val="40"/>
      <w:szCs w:val="4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2024-01-10T10:03:00Z</dcterms:created>
  <dc:creator>Administrator</dc:creator>
  <cp:lastModifiedBy>Administrator</cp:lastModifiedBy>
  <dcterms:modified xsi:type="dcterms:W3CDTF">2024-01-17T10:17:59Z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38B88282AB66412E88504E96586556BB_12</vt:lpwstr>
  </property>
</Properties>
</file>